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11" w:rsidRDefault="007E0E11" w:rsidP="00277D41">
      <w:pPr>
        <w:tabs>
          <w:tab w:val="left" w:pos="8776"/>
        </w:tabs>
        <w:spacing w:after="0" w:line="276" w:lineRule="auto"/>
        <w:rPr>
          <w:rFonts w:cs="Arial"/>
        </w:rPr>
      </w:pPr>
    </w:p>
    <w:p w:rsidR="00A474A3" w:rsidRPr="00F07A06" w:rsidRDefault="00A474A3" w:rsidP="00277D41">
      <w:pPr>
        <w:tabs>
          <w:tab w:val="left" w:pos="8776"/>
        </w:tabs>
        <w:spacing w:after="0" w:line="276" w:lineRule="auto"/>
        <w:rPr>
          <w:rFonts w:cs="Arial"/>
        </w:rPr>
      </w:pPr>
    </w:p>
    <w:p w:rsidR="005F512C" w:rsidRDefault="00DB42A9" w:rsidP="00DB42A9">
      <w:pPr>
        <w:tabs>
          <w:tab w:val="left" w:pos="10348"/>
        </w:tabs>
        <w:spacing w:after="0" w:line="276" w:lineRule="auto"/>
        <w:jc w:val="center"/>
        <w:rPr>
          <w:rFonts w:cs="Arial"/>
          <w:b/>
          <w:bCs/>
        </w:rPr>
      </w:pPr>
      <w:r w:rsidRPr="00CC1F62">
        <w:rPr>
          <w:rFonts w:cs="Arial"/>
          <w:b/>
          <w:bCs/>
        </w:rPr>
        <w:t xml:space="preserve">DISPOSICIONES DE CARÁCTER GENERAL APLICABLES A LAS </w:t>
      </w:r>
    </w:p>
    <w:p w:rsidR="00EB5221" w:rsidRDefault="00DB42A9" w:rsidP="00DB42A9">
      <w:pPr>
        <w:tabs>
          <w:tab w:val="left" w:pos="10348"/>
        </w:tabs>
        <w:spacing w:after="0" w:line="276" w:lineRule="auto"/>
        <w:jc w:val="center"/>
        <w:rPr>
          <w:rFonts w:cs="Arial"/>
        </w:rPr>
      </w:pPr>
      <w:r w:rsidRPr="00CC1F62">
        <w:rPr>
          <w:rFonts w:cs="Arial"/>
          <w:b/>
          <w:bCs/>
        </w:rPr>
        <w:t>INSTITUCIONES DE TECNOLOGÍA FINANCIERA</w:t>
      </w:r>
    </w:p>
    <w:p w:rsidR="00A214EC" w:rsidRPr="006170DB" w:rsidRDefault="00A214EC" w:rsidP="00E5558E">
      <w:pPr>
        <w:tabs>
          <w:tab w:val="left" w:pos="10348"/>
        </w:tabs>
        <w:spacing w:after="0" w:line="276" w:lineRule="auto"/>
        <w:rPr>
          <w:rFonts w:cs="Arial"/>
        </w:rPr>
      </w:pPr>
    </w:p>
    <w:p w:rsidR="00D81DFF" w:rsidRDefault="00DB42A9" w:rsidP="00DB42A9">
      <w:pPr>
        <w:spacing w:after="0" w:line="276" w:lineRule="auto"/>
        <w:rPr>
          <w:rFonts w:cs="Arial"/>
        </w:rPr>
      </w:pPr>
      <w:r w:rsidRPr="00CC1F62">
        <w:rPr>
          <w:rFonts w:cs="Arial"/>
        </w:rPr>
        <w:t xml:space="preserve">El pasado 10 de septiembre de 2018 fueron publicadas en el Diario Oficial de la Federación </w:t>
      </w:r>
      <w:r w:rsidR="00134000">
        <w:rPr>
          <w:rFonts w:cs="Arial"/>
        </w:rPr>
        <w:t>(</w:t>
      </w:r>
      <w:r w:rsidRPr="00CC1F62">
        <w:rPr>
          <w:rFonts w:cs="Arial"/>
        </w:rPr>
        <w:t>DOF)</w:t>
      </w:r>
      <w:r>
        <w:rPr>
          <w:rFonts w:cs="Arial"/>
        </w:rPr>
        <w:t>,</w:t>
      </w:r>
      <w:r w:rsidRPr="00CC1F62">
        <w:rPr>
          <w:rFonts w:cs="Arial"/>
        </w:rPr>
        <w:t xml:space="preserve"> las </w:t>
      </w:r>
      <w:r>
        <w:rPr>
          <w:rFonts w:cs="Arial"/>
        </w:rPr>
        <w:t>“</w:t>
      </w:r>
      <w:r w:rsidRPr="00CE71B4">
        <w:rPr>
          <w:rFonts w:cs="Arial"/>
          <w:i/>
        </w:rPr>
        <w:t>Disposiciones de carácter general aplicables a las Instituciones de Tecnología Financiera</w:t>
      </w:r>
      <w:r>
        <w:rPr>
          <w:rFonts w:cs="Arial"/>
          <w:i/>
        </w:rPr>
        <w:t>”</w:t>
      </w:r>
      <w:r w:rsidRPr="00CC1F62">
        <w:rPr>
          <w:rFonts w:cs="Arial"/>
        </w:rPr>
        <w:t xml:space="preserve"> (Disposiciones Generales)</w:t>
      </w:r>
      <w:r w:rsidR="00134000">
        <w:rPr>
          <w:rFonts w:cs="Arial"/>
        </w:rPr>
        <w:t>,</w:t>
      </w:r>
      <w:r w:rsidRPr="00CC1F62">
        <w:rPr>
          <w:rFonts w:cs="Arial"/>
        </w:rPr>
        <w:t xml:space="preserve"> expedidas por la Comisión Nacional Bancaria</w:t>
      </w:r>
      <w:r w:rsidR="00134000">
        <w:rPr>
          <w:rFonts w:cs="Arial"/>
        </w:rPr>
        <w:t xml:space="preserve"> </w:t>
      </w:r>
      <w:r w:rsidRPr="00CC1F62">
        <w:rPr>
          <w:rFonts w:cs="Arial"/>
        </w:rPr>
        <w:t>y de Valores</w:t>
      </w:r>
      <w:r w:rsidR="00D81DFF">
        <w:rPr>
          <w:rFonts w:cs="Arial"/>
        </w:rPr>
        <w:t xml:space="preserve"> (CNBV)</w:t>
      </w:r>
      <w:r w:rsidRPr="00CC1F62">
        <w:rPr>
          <w:rFonts w:cs="Arial"/>
        </w:rPr>
        <w:t>, previa opinión del Comité Interinstitucional</w:t>
      </w:r>
      <w:r w:rsidR="00D81DFF">
        <w:rPr>
          <w:rFonts w:cs="Arial"/>
        </w:rPr>
        <w:t>.</w:t>
      </w:r>
    </w:p>
    <w:p w:rsidR="00D81DFF" w:rsidRDefault="00D81DFF" w:rsidP="00DB42A9">
      <w:pPr>
        <w:spacing w:after="0" w:line="276" w:lineRule="auto"/>
        <w:rPr>
          <w:rFonts w:cs="Arial"/>
        </w:rPr>
      </w:pPr>
    </w:p>
    <w:p w:rsidR="00DB42A9" w:rsidRPr="00CC1F62" w:rsidRDefault="00BA2ABE" w:rsidP="00DB42A9">
      <w:pPr>
        <w:spacing w:after="0" w:line="276" w:lineRule="auto"/>
        <w:rPr>
          <w:rFonts w:cs="Arial"/>
        </w:rPr>
      </w:pPr>
      <w:r>
        <w:rPr>
          <w:rFonts w:cs="Arial"/>
        </w:rPr>
        <w:t xml:space="preserve">Adicionalmente, fueron publicadas </w:t>
      </w:r>
      <w:r w:rsidR="00DB42A9" w:rsidRPr="00CC1F62">
        <w:rPr>
          <w:rFonts w:cs="Arial"/>
        </w:rPr>
        <w:t xml:space="preserve">las </w:t>
      </w:r>
      <w:r w:rsidR="00DB42A9">
        <w:rPr>
          <w:rFonts w:cs="Arial"/>
        </w:rPr>
        <w:t>“</w:t>
      </w:r>
      <w:r w:rsidR="00DB42A9" w:rsidRPr="00CE71B4">
        <w:rPr>
          <w:rFonts w:cs="Arial"/>
          <w:i/>
        </w:rPr>
        <w:t>Disposiciones de carácter general a que se refiere el Artículo 58 de la Ley para Regular las Instituciones de Tecnología Financiera</w:t>
      </w:r>
      <w:r w:rsidR="00DB42A9">
        <w:rPr>
          <w:rFonts w:cs="Arial"/>
          <w:i/>
        </w:rPr>
        <w:t>”</w:t>
      </w:r>
      <w:r w:rsidR="00DB42A9" w:rsidRPr="00CC1F62">
        <w:rPr>
          <w:rFonts w:cs="Arial"/>
        </w:rPr>
        <w:t xml:space="preserve"> (</w:t>
      </w:r>
      <w:r w:rsidR="00DB42A9">
        <w:rPr>
          <w:rFonts w:cs="Arial"/>
        </w:rPr>
        <w:t>Disposiciones del Artículo 58</w:t>
      </w:r>
      <w:r w:rsidR="00DB42A9" w:rsidRPr="00CC1F62">
        <w:rPr>
          <w:rFonts w:cs="Arial"/>
        </w:rPr>
        <w:t>)</w:t>
      </w:r>
      <w:r w:rsidR="005519E1">
        <w:rPr>
          <w:rFonts w:cs="Arial"/>
        </w:rPr>
        <w:t>,</w:t>
      </w:r>
      <w:r w:rsidR="00DB42A9" w:rsidRPr="00CC1F62">
        <w:rPr>
          <w:rFonts w:cs="Arial"/>
        </w:rPr>
        <w:t xml:space="preserve"> expedidas por la Secretaría de Hacienda y Crédito Público</w:t>
      </w:r>
      <w:r>
        <w:rPr>
          <w:rFonts w:cs="Arial"/>
        </w:rPr>
        <w:t xml:space="preserve"> (SHCP)</w:t>
      </w:r>
      <w:r w:rsidR="00DB42A9">
        <w:rPr>
          <w:rFonts w:cs="Arial"/>
        </w:rPr>
        <w:t>, así como</w:t>
      </w:r>
      <w:r w:rsidR="00DB42A9" w:rsidRPr="00CC1F62">
        <w:rPr>
          <w:rFonts w:cs="Arial"/>
        </w:rPr>
        <w:t xml:space="preserve"> la </w:t>
      </w:r>
      <w:r w:rsidR="00DB42A9">
        <w:rPr>
          <w:rFonts w:cs="Arial"/>
        </w:rPr>
        <w:t>“</w:t>
      </w:r>
      <w:r w:rsidR="00DB42A9" w:rsidRPr="00CE71B4">
        <w:rPr>
          <w:rFonts w:cs="Arial"/>
          <w:i/>
        </w:rPr>
        <w:t>Circular 12/2018 dirigida a las Instituciones de Fondos de Pagos Electrónico, relativa a las disposiciones de carácter general aplicables a las operaciones de las Instituciones de Fondos de Pago Electrónico</w:t>
      </w:r>
      <w:r w:rsidR="00DB42A9">
        <w:rPr>
          <w:rFonts w:cs="Arial"/>
        </w:rPr>
        <w:t>” (Circular</w:t>
      </w:r>
      <w:r w:rsidR="00DB42A9" w:rsidRPr="00CC1F62">
        <w:rPr>
          <w:rFonts w:cs="Arial"/>
        </w:rPr>
        <w:t>)</w:t>
      </w:r>
      <w:r w:rsidR="005519E1">
        <w:rPr>
          <w:rFonts w:cs="Arial"/>
        </w:rPr>
        <w:t>,</w:t>
      </w:r>
      <w:r w:rsidR="00DB42A9" w:rsidRPr="00CC1F62">
        <w:rPr>
          <w:rFonts w:cs="Arial"/>
        </w:rPr>
        <w:t xml:space="preserve"> expedida por el Banco de México.  </w:t>
      </w:r>
    </w:p>
    <w:p w:rsidR="00DB42A9" w:rsidRPr="00CC1F62" w:rsidRDefault="00DB42A9" w:rsidP="00DB42A9">
      <w:pPr>
        <w:spacing w:after="0" w:line="276" w:lineRule="auto"/>
        <w:rPr>
          <w:rFonts w:cs="Arial"/>
        </w:rPr>
      </w:pPr>
    </w:p>
    <w:p w:rsidR="00DB42A9" w:rsidRPr="005F512C" w:rsidRDefault="00DB42A9" w:rsidP="005F512C">
      <w:pPr>
        <w:pStyle w:val="Prrafodelista"/>
        <w:numPr>
          <w:ilvl w:val="0"/>
          <w:numId w:val="22"/>
        </w:numPr>
        <w:spacing w:after="0" w:line="276" w:lineRule="auto"/>
        <w:ind w:left="993" w:hanging="567"/>
        <w:rPr>
          <w:rFonts w:cs="Arial"/>
          <w:b/>
        </w:rPr>
      </w:pPr>
      <w:r w:rsidRPr="005F512C">
        <w:rPr>
          <w:rFonts w:cs="Arial"/>
          <w:b/>
        </w:rPr>
        <w:t>Disposiciones Generales</w:t>
      </w:r>
    </w:p>
    <w:p w:rsidR="00DB42A9" w:rsidRPr="00CC1F62" w:rsidRDefault="00DB42A9" w:rsidP="00DB42A9">
      <w:pPr>
        <w:spacing w:after="0" w:line="276" w:lineRule="auto"/>
        <w:rPr>
          <w:rFonts w:cs="Arial"/>
        </w:rPr>
      </w:pPr>
    </w:p>
    <w:p w:rsidR="00DB42A9" w:rsidRDefault="00DB42A9" w:rsidP="00DB42A9">
      <w:pPr>
        <w:spacing w:after="0" w:line="276" w:lineRule="auto"/>
        <w:rPr>
          <w:rFonts w:cs="Arial"/>
          <w:color w:val="000000" w:themeColor="text1"/>
          <w:shd w:val="clear" w:color="auto" w:fill="FFFFFF"/>
        </w:rPr>
      </w:pPr>
      <w:r w:rsidRPr="00AF58BB">
        <w:rPr>
          <w:rFonts w:cs="Arial"/>
          <w:color w:val="000000" w:themeColor="text1"/>
        </w:rPr>
        <w:t xml:space="preserve">Las </w:t>
      </w:r>
      <w:r w:rsidRPr="00AF58BB">
        <w:rPr>
          <w:rFonts w:cs="Arial"/>
          <w:color w:val="000000" w:themeColor="text1"/>
          <w:shd w:val="clear" w:color="auto" w:fill="FFFFFF"/>
        </w:rPr>
        <w:t>Disposiciones</w:t>
      </w:r>
      <w:r w:rsidR="005519E1">
        <w:rPr>
          <w:rFonts w:cs="Arial"/>
          <w:color w:val="000000" w:themeColor="text1"/>
          <w:shd w:val="clear" w:color="auto" w:fill="FFFFFF"/>
        </w:rPr>
        <w:t xml:space="preserve"> </w:t>
      </w:r>
      <w:r w:rsidRPr="00AF58BB">
        <w:rPr>
          <w:rFonts w:cs="Arial"/>
          <w:color w:val="000000" w:themeColor="text1"/>
          <w:shd w:val="clear" w:color="auto" w:fill="FFFFFF"/>
        </w:rPr>
        <w:t>Generales refieren a materias diversas</w:t>
      </w:r>
      <w:r>
        <w:rPr>
          <w:rFonts w:cs="Arial"/>
          <w:color w:val="000000" w:themeColor="text1"/>
          <w:shd w:val="clear" w:color="auto" w:fill="FFFFFF"/>
        </w:rPr>
        <w:t>,</w:t>
      </w:r>
      <w:r w:rsidRPr="00AF58BB">
        <w:rPr>
          <w:rFonts w:cs="Arial"/>
          <w:color w:val="000000" w:themeColor="text1"/>
          <w:shd w:val="clear" w:color="auto" w:fill="FFFFFF"/>
        </w:rPr>
        <w:t xml:space="preserve"> tales como </w:t>
      </w:r>
      <w:r w:rsidR="005519E1">
        <w:rPr>
          <w:rFonts w:cs="Arial"/>
          <w:color w:val="000000" w:themeColor="text1"/>
          <w:shd w:val="clear" w:color="auto" w:fill="FFFFFF"/>
        </w:rPr>
        <w:t xml:space="preserve">los </w:t>
      </w:r>
      <w:r w:rsidRPr="00AF58BB">
        <w:rPr>
          <w:rFonts w:cs="Arial"/>
          <w:color w:val="000000" w:themeColor="text1"/>
          <w:shd w:val="clear" w:color="auto" w:fill="FFFFFF"/>
        </w:rPr>
        <w:t>requisitos para la autorización para actuar como institución de tecnología financiera, capitales mínimos, contabilidad, excepciones para recibir recursos en efectivo o efectuar o recibir transferencias nacionales o internacionales, mandatos y comisiones para cuestiones operativas respecto de las actividades de las institucion</w:t>
      </w:r>
      <w:r>
        <w:rPr>
          <w:rFonts w:cs="Arial"/>
          <w:color w:val="000000" w:themeColor="text1"/>
          <w:shd w:val="clear" w:color="auto" w:fill="FFFFFF"/>
        </w:rPr>
        <w:t>es de financiamiento colectivo</w:t>
      </w:r>
      <w:r w:rsidR="00BA2ABE">
        <w:rPr>
          <w:rFonts w:cs="Arial"/>
          <w:color w:val="000000" w:themeColor="text1"/>
          <w:shd w:val="clear" w:color="auto" w:fill="FFFFFF"/>
        </w:rPr>
        <w:t>, entre otras; asimismo, d</w:t>
      </w:r>
      <w:r>
        <w:rPr>
          <w:rFonts w:cs="Arial"/>
          <w:color w:val="000000" w:themeColor="text1"/>
          <w:shd w:val="clear" w:color="auto" w:fill="FFFFFF"/>
        </w:rPr>
        <w:t>ichas</w:t>
      </w:r>
      <w:r w:rsidRPr="00AF58BB">
        <w:rPr>
          <w:rFonts w:cs="Arial"/>
          <w:color w:val="000000" w:themeColor="text1"/>
          <w:shd w:val="clear" w:color="auto" w:fill="FFFFFF"/>
        </w:rPr>
        <w:t xml:space="preserve"> Disposiciones </w:t>
      </w:r>
      <w:r>
        <w:rPr>
          <w:rFonts w:cs="Arial"/>
          <w:color w:val="000000" w:themeColor="text1"/>
          <w:shd w:val="clear" w:color="auto" w:fill="FFFFFF"/>
        </w:rPr>
        <w:t>se ocupan,</w:t>
      </w:r>
      <w:r w:rsidRPr="00AF58BB">
        <w:rPr>
          <w:rFonts w:cs="Arial"/>
          <w:color w:val="000000" w:themeColor="text1"/>
          <w:shd w:val="clear" w:color="auto" w:fill="FFFFFF"/>
        </w:rPr>
        <w:t xml:space="preserve"> entre otros asuntos, de:</w:t>
      </w:r>
    </w:p>
    <w:p w:rsidR="00DB42A9" w:rsidRDefault="00DB42A9" w:rsidP="00DB42A9">
      <w:pPr>
        <w:spacing w:after="0" w:line="276" w:lineRule="auto"/>
        <w:rPr>
          <w:rFonts w:cs="Arial"/>
          <w:color w:val="000000" w:themeColor="text1"/>
          <w:shd w:val="clear" w:color="auto" w:fill="FFFFFF"/>
        </w:rPr>
      </w:pPr>
    </w:p>
    <w:p w:rsidR="00DB42A9" w:rsidRDefault="00DB42A9" w:rsidP="005F512C">
      <w:pPr>
        <w:pStyle w:val="Prrafodelista"/>
        <w:numPr>
          <w:ilvl w:val="0"/>
          <w:numId w:val="21"/>
        </w:numPr>
        <w:spacing w:after="0" w:line="276" w:lineRule="auto"/>
        <w:ind w:left="567" w:hanging="283"/>
        <w:rPr>
          <w:rFonts w:cs="Arial"/>
          <w:color w:val="000000" w:themeColor="text1"/>
          <w:shd w:val="clear" w:color="auto" w:fill="FFFFFF"/>
        </w:rPr>
      </w:pPr>
      <w:r w:rsidRPr="00556562">
        <w:rPr>
          <w:rFonts w:cs="Arial"/>
          <w:color w:val="000000" w:themeColor="text1"/>
          <w:shd w:val="clear" w:color="auto" w:fill="FFFFFF"/>
        </w:rPr>
        <w:t>Especificar la documentación e información que se requiere acompañar a las solicitudes de autorización para operar una</w:t>
      </w:r>
      <w:r w:rsidR="005519E1">
        <w:rPr>
          <w:rFonts w:cs="Arial"/>
          <w:color w:val="000000" w:themeColor="text1"/>
          <w:shd w:val="clear" w:color="auto" w:fill="FFFFFF"/>
        </w:rPr>
        <w:t xml:space="preserve"> Institución de Tecnología Financiera</w:t>
      </w:r>
      <w:r w:rsidRPr="00556562">
        <w:rPr>
          <w:rFonts w:cs="Arial"/>
          <w:color w:val="000000" w:themeColor="text1"/>
          <w:shd w:val="clear" w:color="auto" w:fill="FFFFFF"/>
        </w:rPr>
        <w:t xml:space="preserve"> </w:t>
      </w:r>
      <w:r w:rsidR="005519E1">
        <w:rPr>
          <w:rFonts w:cs="Arial"/>
          <w:color w:val="000000" w:themeColor="text1"/>
          <w:shd w:val="clear" w:color="auto" w:fill="FFFFFF"/>
        </w:rPr>
        <w:t>(</w:t>
      </w:r>
      <w:r w:rsidRPr="00556562">
        <w:rPr>
          <w:rFonts w:cs="Arial"/>
          <w:color w:val="000000" w:themeColor="text1"/>
          <w:shd w:val="clear" w:color="auto" w:fill="FFFFFF"/>
        </w:rPr>
        <w:t>ITF</w:t>
      </w:r>
      <w:r w:rsidR="005519E1">
        <w:rPr>
          <w:rFonts w:cs="Arial"/>
          <w:color w:val="000000" w:themeColor="text1"/>
          <w:shd w:val="clear" w:color="auto" w:fill="FFFFFF"/>
        </w:rPr>
        <w:t>)</w:t>
      </w:r>
      <w:r w:rsidRPr="00556562">
        <w:rPr>
          <w:rFonts w:cs="Arial"/>
          <w:color w:val="000000" w:themeColor="text1"/>
          <w:shd w:val="clear" w:color="auto" w:fill="FFFFFF"/>
        </w:rPr>
        <w:t>.</w:t>
      </w:r>
    </w:p>
    <w:p w:rsidR="00DB42A9" w:rsidRDefault="00DB42A9" w:rsidP="005F512C">
      <w:pPr>
        <w:pStyle w:val="Prrafodelista"/>
        <w:spacing w:after="0" w:line="276" w:lineRule="auto"/>
        <w:ind w:left="567" w:hanging="283"/>
        <w:rPr>
          <w:rFonts w:cs="Arial"/>
          <w:color w:val="000000" w:themeColor="text1"/>
          <w:shd w:val="clear" w:color="auto" w:fill="FFFFFF"/>
        </w:rPr>
      </w:pPr>
    </w:p>
    <w:p w:rsidR="00DB42A9" w:rsidRDefault="00DB42A9" w:rsidP="005F512C">
      <w:pPr>
        <w:pStyle w:val="Prrafodelista"/>
        <w:numPr>
          <w:ilvl w:val="0"/>
          <w:numId w:val="21"/>
        </w:numPr>
        <w:spacing w:after="0" w:line="276" w:lineRule="auto"/>
        <w:ind w:left="567" w:hanging="283"/>
        <w:rPr>
          <w:rFonts w:cs="Arial"/>
          <w:color w:val="000000" w:themeColor="text1"/>
          <w:shd w:val="clear" w:color="auto" w:fill="FFFFFF"/>
        </w:rPr>
      </w:pPr>
      <w:r w:rsidRPr="00556562">
        <w:rPr>
          <w:rFonts w:cs="Arial"/>
          <w:color w:val="000000" w:themeColor="text1"/>
          <w:shd w:val="clear" w:color="auto" w:fill="FFFFFF"/>
        </w:rPr>
        <w:t xml:space="preserve">Establecer la información y documentación que deberán presentar los solicitantes que pretendan mantener una participación </w:t>
      </w:r>
      <w:r w:rsidR="00BA2ABE">
        <w:rPr>
          <w:rFonts w:cs="Arial"/>
          <w:color w:val="000000" w:themeColor="text1"/>
          <w:shd w:val="clear" w:color="auto" w:fill="FFFFFF"/>
        </w:rPr>
        <w:t>en el capital social de las ITF</w:t>
      </w:r>
      <w:r w:rsidRPr="00556562">
        <w:rPr>
          <w:rFonts w:cs="Arial"/>
          <w:color w:val="000000" w:themeColor="text1"/>
          <w:shd w:val="clear" w:color="auto" w:fill="FFFFFF"/>
        </w:rPr>
        <w:t xml:space="preserve">, así como fijar el monto de capital mínimo para las </w:t>
      </w:r>
      <w:r w:rsidR="005519E1">
        <w:rPr>
          <w:rFonts w:cs="Arial"/>
          <w:color w:val="000000" w:themeColor="text1"/>
          <w:shd w:val="clear" w:color="auto" w:fill="FFFFFF"/>
        </w:rPr>
        <w:t>mismas</w:t>
      </w:r>
      <w:r w:rsidRPr="00556562">
        <w:rPr>
          <w:rFonts w:cs="Arial"/>
          <w:color w:val="000000" w:themeColor="text1"/>
          <w:shd w:val="clear" w:color="auto" w:fill="FFFFFF"/>
        </w:rPr>
        <w:t>;</w:t>
      </w:r>
    </w:p>
    <w:p w:rsidR="00DB42A9" w:rsidRPr="00556562" w:rsidRDefault="00DB42A9" w:rsidP="005F512C">
      <w:pPr>
        <w:pStyle w:val="Prrafodelista"/>
        <w:spacing w:after="0"/>
        <w:ind w:left="567" w:hanging="283"/>
        <w:rPr>
          <w:rFonts w:cs="Arial"/>
          <w:color w:val="000000" w:themeColor="text1"/>
          <w:shd w:val="clear" w:color="auto" w:fill="FFFFFF"/>
        </w:rPr>
      </w:pPr>
    </w:p>
    <w:p w:rsidR="00DB42A9" w:rsidRDefault="00DB42A9" w:rsidP="005F512C">
      <w:pPr>
        <w:pStyle w:val="Prrafodelista"/>
        <w:numPr>
          <w:ilvl w:val="0"/>
          <w:numId w:val="21"/>
        </w:numPr>
        <w:spacing w:after="0" w:line="276" w:lineRule="auto"/>
        <w:ind w:left="567" w:hanging="283"/>
        <w:rPr>
          <w:rFonts w:cs="Arial"/>
          <w:color w:val="000000" w:themeColor="text1"/>
          <w:shd w:val="clear" w:color="auto" w:fill="FFFFFF"/>
        </w:rPr>
      </w:pPr>
      <w:r w:rsidRPr="00556562">
        <w:rPr>
          <w:rFonts w:cs="Arial"/>
          <w:color w:val="000000" w:themeColor="text1"/>
          <w:shd w:val="clear" w:color="auto" w:fill="FFFFFF"/>
        </w:rPr>
        <w:t xml:space="preserve">Establecer los criterios de contabilidad específicos aplicables a </w:t>
      </w:r>
      <w:r w:rsidR="005519E1">
        <w:rPr>
          <w:rFonts w:cs="Arial"/>
          <w:color w:val="000000" w:themeColor="text1"/>
          <w:shd w:val="clear" w:color="auto" w:fill="FFFFFF"/>
        </w:rPr>
        <w:t>dichas</w:t>
      </w:r>
      <w:r w:rsidRPr="00556562">
        <w:rPr>
          <w:rFonts w:cs="Arial"/>
          <w:color w:val="000000" w:themeColor="text1"/>
          <w:shd w:val="clear" w:color="auto" w:fill="FFFFFF"/>
        </w:rPr>
        <w:t xml:space="preserve"> ITF</w:t>
      </w:r>
      <w:r w:rsidR="005519E1">
        <w:rPr>
          <w:rFonts w:cs="Arial"/>
          <w:color w:val="000000" w:themeColor="text1"/>
          <w:shd w:val="clear" w:color="auto" w:fill="FFFFFF"/>
        </w:rPr>
        <w:t>,</w:t>
      </w:r>
      <w:r w:rsidRPr="00556562">
        <w:rPr>
          <w:rFonts w:cs="Arial"/>
          <w:color w:val="000000" w:themeColor="text1"/>
          <w:shd w:val="clear" w:color="auto" w:fill="FFFFFF"/>
        </w:rPr>
        <w:t xml:space="preserve"> </w:t>
      </w:r>
      <w:r w:rsidR="005519E1">
        <w:rPr>
          <w:rFonts w:cs="Arial"/>
          <w:color w:val="000000" w:themeColor="text1"/>
          <w:shd w:val="clear" w:color="auto" w:fill="FFFFFF"/>
        </w:rPr>
        <w:t>los cuales deberán ser</w:t>
      </w:r>
      <w:r w:rsidRPr="00556562">
        <w:rPr>
          <w:rFonts w:cs="Arial"/>
          <w:color w:val="000000" w:themeColor="text1"/>
          <w:shd w:val="clear" w:color="auto" w:fill="FFFFFF"/>
        </w:rPr>
        <w:t xml:space="preserve"> acordes con el tipo de operaciones que </w:t>
      </w:r>
      <w:r w:rsidR="005519E1">
        <w:rPr>
          <w:rFonts w:cs="Arial"/>
          <w:color w:val="000000" w:themeColor="text1"/>
          <w:shd w:val="clear" w:color="auto" w:fill="FFFFFF"/>
        </w:rPr>
        <w:t>lleven</w:t>
      </w:r>
      <w:r w:rsidRPr="00556562">
        <w:rPr>
          <w:rFonts w:cs="Arial"/>
          <w:color w:val="000000" w:themeColor="text1"/>
          <w:shd w:val="clear" w:color="auto" w:fill="FFFFFF"/>
        </w:rPr>
        <w:t xml:space="preserve"> a cabo; además de especificar el tratamiento relacionado con la preparación de información financiera que haga consistente la aplicación de los criterios de contabilidad con la elaboración y formulación de los estados financieros, así como su envío a la CNBV;</w:t>
      </w:r>
    </w:p>
    <w:p w:rsidR="00DB42A9" w:rsidRPr="00556562" w:rsidRDefault="00DB42A9" w:rsidP="005F512C">
      <w:pPr>
        <w:pStyle w:val="Prrafodelista"/>
        <w:spacing w:after="0"/>
        <w:ind w:left="567" w:hanging="283"/>
        <w:rPr>
          <w:rFonts w:cs="Arial"/>
          <w:color w:val="000000" w:themeColor="text1"/>
          <w:shd w:val="clear" w:color="auto" w:fill="FFFFFF"/>
        </w:rPr>
      </w:pPr>
    </w:p>
    <w:p w:rsidR="00DB42A9" w:rsidRDefault="00DB42A9" w:rsidP="005F512C">
      <w:pPr>
        <w:pStyle w:val="Prrafodelista"/>
        <w:numPr>
          <w:ilvl w:val="0"/>
          <w:numId w:val="21"/>
        </w:numPr>
        <w:spacing w:after="0" w:line="276" w:lineRule="auto"/>
        <w:ind w:left="567" w:hanging="283"/>
        <w:rPr>
          <w:rFonts w:cs="Arial"/>
          <w:color w:val="000000" w:themeColor="text1"/>
          <w:shd w:val="clear" w:color="auto" w:fill="FFFFFF"/>
        </w:rPr>
      </w:pPr>
      <w:r w:rsidRPr="00556562">
        <w:rPr>
          <w:rFonts w:cs="Arial"/>
          <w:color w:val="000000" w:themeColor="text1"/>
          <w:shd w:val="clear" w:color="auto" w:fill="FFFFFF"/>
        </w:rPr>
        <w:t>En beneficio de los inversionistas de las</w:t>
      </w:r>
      <w:r w:rsidR="005519E1">
        <w:rPr>
          <w:rFonts w:cs="Arial"/>
          <w:color w:val="000000" w:themeColor="text1"/>
          <w:shd w:val="clear" w:color="auto" w:fill="FFFFFF"/>
        </w:rPr>
        <w:t xml:space="preserve"> Instituciones de Financiamiento Colectivo</w:t>
      </w:r>
      <w:r w:rsidRPr="00556562">
        <w:rPr>
          <w:rFonts w:cs="Arial"/>
          <w:color w:val="000000" w:themeColor="text1"/>
          <w:shd w:val="clear" w:color="auto" w:fill="FFFFFF"/>
        </w:rPr>
        <w:t xml:space="preserve"> </w:t>
      </w:r>
      <w:r w:rsidR="005519E1">
        <w:rPr>
          <w:rFonts w:cs="Arial"/>
          <w:color w:val="000000" w:themeColor="text1"/>
          <w:shd w:val="clear" w:color="auto" w:fill="FFFFFF"/>
        </w:rPr>
        <w:t>(</w:t>
      </w:r>
      <w:r w:rsidRPr="00556562">
        <w:rPr>
          <w:rFonts w:cs="Arial"/>
          <w:color w:val="000000" w:themeColor="text1"/>
          <w:shd w:val="clear" w:color="auto" w:fill="FFFFFF"/>
        </w:rPr>
        <w:t>IFC</w:t>
      </w:r>
      <w:r w:rsidR="005519E1">
        <w:rPr>
          <w:rFonts w:cs="Arial"/>
          <w:color w:val="000000" w:themeColor="text1"/>
          <w:shd w:val="clear" w:color="auto" w:fill="FFFFFF"/>
        </w:rPr>
        <w:t>)</w:t>
      </w:r>
      <w:r w:rsidRPr="00556562">
        <w:rPr>
          <w:rFonts w:cs="Arial"/>
          <w:color w:val="000000" w:themeColor="text1"/>
          <w:shd w:val="clear" w:color="auto" w:fill="FFFFFF"/>
        </w:rPr>
        <w:t>, estable</w:t>
      </w:r>
      <w:r w:rsidR="005519E1">
        <w:rPr>
          <w:rFonts w:cs="Arial"/>
          <w:color w:val="000000" w:themeColor="text1"/>
          <w:shd w:val="clear" w:color="auto" w:fill="FFFFFF"/>
        </w:rPr>
        <w:t>cen</w:t>
      </w:r>
      <w:r w:rsidRPr="00556562">
        <w:rPr>
          <w:rFonts w:cs="Arial"/>
          <w:color w:val="000000" w:themeColor="text1"/>
          <w:shd w:val="clear" w:color="auto" w:fill="FFFFFF"/>
        </w:rPr>
        <w:t xml:space="preserve"> las características mínimas que deberán contener las constancias electrónicas de conocimiento de riesgos que tales instituciones deberán obtener de ellos, lo que redundará en que conozcan de manera clara los riesgos a que se encontrará sujeta su inversión;</w:t>
      </w:r>
    </w:p>
    <w:p w:rsidR="00DB42A9" w:rsidRDefault="00DB42A9" w:rsidP="005F512C">
      <w:pPr>
        <w:pStyle w:val="Prrafodelista"/>
        <w:spacing w:after="0"/>
        <w:ind w:left="567" w:hanging="283"/>
        <w:rPr>
          <w:rFonts w:cs="Arial"/>
          <w:color w:val="000000" w:themeColor="text1"/>
          <w:shd w:val="clear" w:color="auto" w:fill="FFFFFF"/>
        </w:rPr>
      </w:pPr>
    </w:p>
    <w:p w:rsidR="00A474A3" w:rsidRPr="00556562" w:rsidRDefault="00A474A3" w:rsidP="005F512C">
      <w:pPr>
        <w:pStyle w:val="Prrafodelista"/>
        <w:spacing w:after="0"/>
        <w:ind w:left="567" w:hanging="283"/>
        <w:rPr>
          <w:rFonts w:cs="Arial"/>
          <w:color w:val="000000" w:themeColor="text1"/>
          <w:shd w:val="clear" w:color="auto" w:fill="FFFFFF"/>
        </w:rPr>
      </w:pPr>
    </w:p>
    <w:p w:rsidR="00DB42A9" w:rsidRPr="00BA2ABE" w:rsidRDefault="00BA2ABE" w:rsidP="005F512C">
      <w:pPr>
        <w:pStyle w:val="Prrafodelista"/>
        <w:numPr>
          <w:ilvl w:val="0"/>
          <w:numId w:val="22"/>
        </w:numPr>
        <w:spacing w:after="0" w:line="276" w:lineRule="auto"/>
        <w:ind w:left="993" w:hanging="567"/>
        <w:rPr>
          <w:rFonts w:cs="Arial"/>
          <w:b/>
        </w:rPr>
      </w:pPr>
      <w:r w:rsidRPr="00BA2ABE">
        <w:rPr>
          <w:rFonts w:cs="Arial"/>
          <w:b/>
        </w:rPr>
        <w:t>Disposiciones del Artículo 58 expedidas por la SHCP</w:t>
      </w:r>
    </w:p>
    <w:p w:rsidR="00DB42A9" w:rsidRPr="00CC1F62" w:rsidRDefault="00DB42A9" w:rsidP="00DB42A9">
      <w:pPr>
        <w:spacing w:after="0" w:line="276" w:lineRule="auto"/>
        <w:rPr>
          <w:rFonts w:cs="Arial"/>
        </w:rPr>
      </w:pPr>
    </w:p>
    <w:p w:rsidR="00DB42A9" w:rsidRPr="00CD6A7C" w:rsidRDefault="00DB42A9" w:rsidP="00DB42A9">
      <w:pPr>
        <w:spacing w:after="0" w:line="276" w:lineRule="auto"/>
        <w:rPr>
          <w:rFonts w:cs="Arial"/>
        </w:rPr>
      </w:pPr>
      <w:r>
        <w:rPr>
          <w:rFonts w:cs="Arial"/>
        </w:rPr>
        <w:t>Las</w:t>
      </w:r>
      <w:r w:rsidR="005519E1">
        <w:rPr>
          <w:rFonts w:cs="Arial"/>
        </w:rPr>
        <w:t xml:space="preserve"> Disposiciones del Artí</w:t>
      </w:r>
      <w:r w:rsidRPr="00CD6A7C">
        <w:rPr>
          <w:rFonts w:cs="Arial"/>
        </w:rPr>
        <w:t>culo 58, pretenden abordar</w:t>
      </w:r>
      <w:r>
        <w:rPr>
          <w:rFonts w:cs="Arial"/>
        </w:rPr>
        <w:t>, entre otras obligaciones,</w:t>
      </w:r>
      <w:r w:rsidRPr="00CD6A7C">
        <w:rPr>
          <w:rFonts w:cs="Arial"/>
        </w:rPr>
        <w:t xml:space="preserve"> la implementación de políticas de identificación y conocimiento de los </w:t>
      </w:r>
      <w:r w:rsidR="005519E1">
        <w:rPr>
          <w:rFonts w:cs="Arial"/>
        </w:rPr>
        <w:t>clientes y, en su caso, de los u</w:t>
      </w:r>
      <w:r w:rsidRPr="00CD6A7C">
        <w:rPr>
          <w:rFonts w:cs="Arial"/>
        </w:rPr>
        <w:t>suarios con los que operen las ITF, así como establecer las funciones y obligaciones de aquellas estructuras, áreas, o personal de las ITF, encargados de observar la correcta aplicación de las disposiciones con el estricto apego a derecho.</w:t>
      </w:r>
    </w:p>
    <w:p w:rsidR="00DB42A9" w:rsidRPr="00CD6A7C" w:rsidRDefault="00DB42A9" w:rsidP="00DB42A9">
      <w:pPr>
        <w:spacing w:after="0" w:line="276" w:lineRule="auto"/>
        <w:rPr>
          <w:rFonts w:cs="Arial"/>
        </w:rPr>
      </w:pPr>
    </w:p>
    <w:p w:rsidR="00DB42A9" w:rsidRPr="00CD6A7C" w:rsidRDefault="00DB42A9" w:rsidP="00DB42A9">
      <w:pPr>
        <w:spacing w:after="0" w:line="276" w:lineRule="auto"/>
        <w:rPr>
          <w:rFonts w:cs="Arial"/>
        </w:rPr>
      </w:pPr>
      <w:r w:rsidRPr="00CD6A7C">
        <w:rPr>
          <w:rFonts w:cs="Arial"/>
        </w:rPr>
        <w:t>Al respecto, a fin de lograr un cabal cumplimiento en la implementación de dichas políticas, las Disposiciones del Artículo 58 prevén la elaboración de, entre otros, un documento de políticas de identificación y conocimie</w:t>
      </w:r>
      <w:r w:rsidR="005519E1">
        <w:rPr>
          <w:rFonts w:cs="Arial"/>
        </w:rPr>
        <w:t>nto de sus c</w:t>
      </w:r>
      <w:r w:rsidRPr="00CD6A7C">
        <w:rPr>
          <w:rFonts w:cs="Arial"/>
        </w:rPr>
        <w:t>lientes, según corresponda, así como establecer políticas, criterios, medidas y procedimientos internos que les permitan identificar, conocer y mitigar los riesgos a los que se encuentran expuestas en la materia, considerando, desde luego, lo ya señalado respecto a las nuevas tecnologías, el cual deberá ser entregado a la CNBV.</w:t>
      </w:r>
    </w:p>
    <w:p w:rsidR="00DB42A9" w:rsidRPr="00CD6A7C" w:rsidRDefault="00DB42A9" w:rsidP="00DB42A9">
      <w:pPr>
        <w:spacing w:after="0" w:line="276" w:lineRule="auto"/>
        <w:rPr>
          <w:rFonts w:cs="Arial"/>
        </w:rPr>
      </w:pPr>
    </w:p>
    <w:p w:rsidR="00DB42A9" w:rsidRDefault="00DB42A9" w:rsidP="00DB42A9">
      <w:pPr>
        <w:spacing w:after="0" w:line="276" w:lineRule="auto"/>
        <w:rPr>
          <w:rFonts w:cs="Arial"/>
        </w:rPr>
      </w:pPr>
      <w:r w:rsidRPr="00CD6A7C">
        <w:rPr>
          <w:rFonts w:cs="Arial"/>
        </w:rPr>
        <w:t>Asimi</w:t>
      </w:r>
      <w:r w:rsidR="005519E1">
        <w:rPr>
          <w:rFonts w:cs="Arial"/>
        </w:rPr>
        <w:t>smo, se establece que se deberá</w:t>
      </w:r>
      <w:r w:rsidRPr="00CD6A7C">
        <w:rPr>
          <w:rFonts w:cs="Arial"/>
        </w:rPr>
        <w:t xml:space="preserve"> conservar la información de la identificación de los </w:t>
      </w:r>
      <w:r w:rsidR="005519E1">
        <w:rPr>
          <w:rFonts w:cs="Arial"/>
        </w:rPr>
        <w:t>c</w:t>
      </w:r>
      <w:r w:rsidRPr="00CD6A7C">
        <w:rPr>
          <w:rFonts w:cs="Arial"/>
        </w:rPr>
        <w:t>lientes de las ITF, los instrumentos jurídicos que acrediten la o las operaciones, así como, en su caso, los reportes generados por las operaciones que realicen con estos, lo cual, podrá realizarse a través de medios electrónicos o digitales, cumpliendo con los estándares que las disposiciones establecen para tales efectos</w:t>
      </w:r>
      <w:r>
        <w:rPr>
          <w:rFonts w:cs="Arial"/>
        </w:rPr>
        <w:t>.</w:t>
      </w:r>
    </w:p>
    <w:p w:rsidR="00DB42A9" w:rsidRDefault="00DB42A9" w:rsidP="00DB42A9">
      <w:pPr>
        <w:spacing w:after="0" w:line="276" w:lineRule="auto"/>
        <w:rPr>
          <w:rFonts w:cs="Arial"/>
        </w:rPr>
      </w:pPr>
    </w:p>
    <w:p w:rsidR="00DB42A9" w:rsidRDefault="00DB42A9" w:rsidP="00DB42A9">
      <w:pPr>
        <w:spacing w:after="0" w:line="276" w:lineRule="auto"/>
        <w:rPr>
          <w:rFonts w:cs="Arial"/>
        </w:rPr>
      </w:pPr>
      <w:r>
        <w:rPr>
          <w:rFonts w:cs="Arial"/>
        </w:rPr>
        <w:t>Por otra parte</w:t>
      </w:r>
      <w:r w:rsidRPr="00CD6A7C">
        <w:rPr>
          <w:rFonts w:cs="Arial"/>
        </w:rPr>
        <w:t xml:space="preserve">, </w:t>
      </w:r>
      <w:r>
        <w:rPr>
          <w:rFonts w:cs="Arial"/>
        </w:rPr>
        <w:t>se</w:t>
      </w:r>
      <w:r w:rsidRPr="00CD6A7C">
        <w:rPr>
          <w:rFonts w:cs="Arial"/>
        </w:rPr>
        <w:t xml:space="preserve"> </w:t>
      </w:r>
      <w:r>
        <w:rPr>
          <w:rFonts w:cs="Arial"/>
        </w:rPr>
        <w:t>contempla</w:t>
      </w:r>
      <w:r w:rsidRPr="00CD6A7C">
        <w:rPr>
          <w:rFonts w:cs="Arial"/>
        </w:rPr>
        <w:t xml:space="preserve"> la implementación de capacitaciones</w:t>
      </w:r>
      <w:r>
        <w:rPr>
          <w:rFonts w:cs="Arial"/>
        </w:rPr>
        <w:t>,</w:t>
      </w:r>
      <w:r w:rsidRPr="00CD6A7C">
        <w:rPr>
          <w:rFonts w:cs="Arial"/>
        </w:rPr>
        <w:t xml:space="preserve"> cuando menos una vez al año</w:t>
      </w:r>
      <w:r>
        <w:rPr>
          <w:rFonts w:cs="Arial"/>
        </w:rPr>
        <w:t>,</w:t>
      </w:r>
      <w:r w:rsidRPr="00CD6A7C">
        <w:rPr>
          <w:rFonts w:cs="Arial"/>
        </w:rPr>
        <w:t xml:space="preserve"> </w:t>
      </w:r>
      <w:r w:rsidR="005519E1">
        <w:rPr>
          <w:rFonts w:cs="Arial"/>
        </w:rPr>
        <w:t>para</w:t>
      </w:r>
      <w:r w:rsidRPr="00CD6A7C">
        <w:rPr>
          <w:rFonts w:cs="Arial"/>
        </w:rPr>
        <w:t xml:space="preserve"> </w:t>
      </w:r>
      <w:r>
        <w:rPr>
          <w:rFonts w:cs="Arial"/>
        </w:rPr>
        <w:t>los</w:t>
      </w:r>
      <w:r w:rsidRPr="00CD6A7C">
        <w:rPr>
          <w:rFonts w:cs="Arial"/>
        </w:rPr>
        <w:t xml:space="preserve"> respectivos consejos de </w:t>
      </w:r>
      <w:r>
        <w:rPr>
          <w:rFonts w:cs="Arial"/>
        </w:rPr>
        <w:t>administración, </w:t>
      </w:r>
      <w:r w:rsidRPr="00CD6A7C">
        <w:rPr>
          <w:rFonts w:cs="Arial"/>
        </w:rPr>
        <w:t>directivos, funcionarios o cualquier persona que intervenga en las operaciones realizadas por las ITF</w:t>
      </w:r>
      <w:r>
        <w:rPr>
          <w:rFonts w:cs="Arial"/>
        </w:rPr>
        <w:t>.</w:t>
      </w:r>
    </w:p>
    <w:p w:rsidR="00DB42A9" w:rsidRDefault="00DB42A9" w:rsidP="00DB42A9">
      <w:pPr>
        <w:spacing w:after="0" w:line="276" w:lineRule="auto"/>
        <w:rPr>
          <w:rFonts w:cs="Arial"/>
        </w:rPr>
      </w:pPr>
    </w:p>
    <w:p w:rsidR="00DB42A9" w:rsidRPr="00CD6A7C" w:rsidRDefault="00DB42A9" w:rsidP="00DB42A9">
      <w:pPr>
        <w:spacing w:after="0" w:line="276" w:lineRule="auto"/>
        <w:rPr>
          <w:rFonts w:cs="Arial"/>
        </w:rPr>
      </w:pPr>
      <w:r>
        <w:rPr>
          <w:rFonts w:cs="Arial"/>
        </w:rPr>
        <w:t xml:space="preserve">Lo anterior, </w:t>
      </w:r>
      <w:r w:rsidRPr="00CD6A7C">
        <w:rPr>
          <w:rFonts w:cs="Arial"/>
        </w:rPr>
        <w:t>a efecto</w:t>
      </w:r>
      <w:r>
        <w:rPr>
          <w:rFonts w:cs="Arial"/>
        </w:rPr>
        <w:t>s</w:t>
      </w:r>
      <w:r w:rsidRPr="00CD6A7C">
        <w:rPr>
          <w:rFonts w:cs="Arial"/>
        </w:rPr>
        <w:t xml:space="preserve"> de que </w:t>
      </w:r>
      <w:r>
        <w:rPr>
          <w:rFonts w:cs="Arial"/>
        </w:rPr>
        <w:t xml:space="preserve">éstas </w:t>
      </w:r>
      <w:r w:rsidRPr="00CD6A7C">
        <w:rPr>
          <w:rFonts w:cs="Arial"/>
        </w:rPr>
        <w:t xml:space="preserve">coadyuven al adecuado cumplimiento de la normatividad en materia de prevención de operaciones con recursos de procedencia ilícita y financiamiento </w:t>
      </w:r>
      <w:r w:rsidR="005519E1">
        <w:rPr>
          <w:rFonts w:cs="Arial"/>
        </w:rPr>
        <w:t>al</w:t>
      </w:r>
      <w:r w:rsidRPr="00CD6A7C">
        <w:rPr>
          <w:rFonts w:cs="Arial"/>
        </w:rPr>
        <w:t xml:space="preserve"> terrorismo.</w:t>
      </w:r>
    </w:p>
    <w:p w:rsidR="00DB42A9" w:rsidRDefault="00DB42A9" w:rsidP="00DB42A9">
      <w:pPr>
        <w:spacing w:after="0" w:line="276" w:lineRule="auto"/>
        <w:rPr>
          <w:rFonts w:cs="Arial"/>
        </w:rPr>
      </w:pPr>
    </w:p>
    <w:p w:rsidR="00DB42A9" w:rsidRPr="00CD6A7C" w:rsidRDefault="00FE532C" w:rsidP="00DB42A9">
      <w:pPr>
        <w:spacing w:after="0" w:line="276" w:lineRule="auto"/>
        <w:rPr>
          <w:rFonts w:cs="Arial"/>
        </w:rPr>
      </w:pPr>
      <w:r>
        <w:rPr>
          <w:rFonts w:cs="Arial"/>
        </w:rPr>
        <w:t>Así</w:t>
      </w:r>
      <w:r w:rsidR="00DB42A9">
        <w:rPr>
          <w:rFonts w:cs="Arial"/>
        </w:rPr>
        <w:t xml:space="preserve">, </w:t>
      </w:r>
      <w:r w:rsidR="00DB42A9" w:rsidRPr="00CD6A7C">
        <w:rPr>
          <w:rFonts w:cs="Arial"/>
        </w:rPr>
        <w:t xml:space="preserve">en virtud de la necesidad de mantener medidas de control sobre el cumplimiento de las ITF </w:t>
      </w:r>
      <w:r w:rsidR="00DB42A9">
        <w:rPr>
          <w:rFonts w:cs="Arial"/>
        </w:rPr>
        <w:t>con respecto a</w:t>
      </w:r>
      <w:r w:rsidR="00DB42A9" w:rsidRPr="00CD6A7C">
        <w:rPr>
          <w:rFonts w:cs="Arial"/>
        </w:rPr>
        <w:t xml:space="preserve"> las obligaciones que prevén las Disposiciones del Artículo 58, las ITF deberán someterse a la evaluación de un auditor interno o un tercero independiente que mida la efectividad del cumplimiento de las disposiciones en la materia.</w:t>
      </w:r>
    </w:p>
    <w:p w:rsidR="00DB42A9" w:rsidRPr="00CC1F62" w:rsidRDefault="00DB42A9" w:rsidP="00DB42A9">
      <w:pPr>
        <w:spacing w:after="0" w:line="276" w:lineRule="auto"/>
        <w:rPr>
          <w:rFonts w:cs="Arial"/>
        </w:rPr>
      </w:pPr>
    </w:p>
    <w:p w:rsidR="00DB42A9" w:rsidRPr="00BA2ABE" w:rsidRDefault="00DB42A9" w:rsidP="005F512C">
      <w:pPr>
        <w:pStyle w:val="Prrafodelista"/>
        <w:numPr>
          <w:ilvl w:val="0"/>
          <w:numId w:val="22"/>
        </w:numPr>
        <w:spacing w:after="0" w:line="276" w:lineRule="auto"/>
        <w:ind w:left="993" w:hanging="567"/>
        <w:rPr>
          <w:rFonts w:cs="Arial"/>
          <w:b/>
        </w:rPr>
      </w:pPr>
      <w:r w:rsidRPr="00BA2ABE">
        <w:rPr>
          <w:rFonts w:cs="Arial"/>
          <w:b/>
        </w:rPr>
        <w:t>Circular</w:t>
      </w:r>
      <w:r w:rsidR="00BA2ABE" w:rsidRPr="00BA2ABE">
        <w:rPr>
          <w:rFonts w:cs="Arial"/>
          <w:b/>
        </w:rPr>
        <w:t xml:space="preserve"> expedida por el Banco de México</w:t>
      </w:r>
    </w:p>
    <w:p w:rsidR="00DB42A9" w:rsidRPr="00CC1F62" w:rsidRDefault="00DB42A9" w:rsidP="00DB42A9">
      <w:pPr>
        <w:spacing w:after="0" w:line="276" w:lineRule="auto"/>
        <w:rPr>
          <w:rFonts w:cs="Arial"/>
        </w:rPr>
      </w:pPr>
    </w:p>
    <w:p w:rsidR="00DB42A9" w:rsidRDefault="005519E1" w:rsidP="00DB42A9">
      <w:pPr>
        <w:spacing w:after="0" w:line="276" w:lineRule="auto"/>
        <w:rPr>
          <w:rFonts w:cs="Arial"/>
          <w:shd w:val="clear" w:color="auto" w:fill="FFFFFF"/>
        </w:rPr>
      </w:pPr>
      <w:r>
        <w:rPr>
          <w:rFonts w:cs="Arial"/>
        </w:rPr>
        <w:t>Por su parte, l</w:t>
      </w:r>
      <w:r w:rsidR="00DB42A9">
        <w:rPr>
          <w:rFonts w:cs="Arial"/>
        </w:rPr>
        <w:t xml:space="preserve">a </w:t>
      </w:r>
      <w:r w:rsidR="00DB42A9" w:rsidRPr="00CC1F62">
        <w:rPr>
          <w:rFonts w:cs="Arial"/>
        </w:rPr>
        <w:t>Circular está estrictamente relacionada con las Instituciones de Fondos de Pago Electrónico</w:t>
      </w:r>
      <w:r w:rsidR="00DB42A9">
        <w:rPr>
          <w:rFonts w:cs="Arial"/>
        </w:rPr>
        <w:t xml:space="preserve"> (IFPE</w:t>
      </w:r>
      <w:r w:rsidR="00C2102B">
        <w:rPr>
          <w:rFonts w:cs="Arial"/>
        </w:rPr>
        <w:t>), derivado</w:t>
      </w:r>
      <w:r w:rsidR="00DB42A9" w:rsidRPr="00CC1F62">
        <w:rPr>
          <w:rFonts w:cs="Arial"/>
        </w:rPr>
        <w:t xml:space="preserve"> de </w:t>
      </w:r>
      <w:r w:rsidR="00DB42A9" w:rsidRPr="00CC1F62">
        <w:rPr>
          <w:rFonts w:cs="Arial"/>
          <w:shd w:val="clear" w:color="auto" w:fill="FFFFFF"/>
        </w:rPr>
        <w:t xml:space="preserve">las disposiciones de carácter general que </w:t>
      </w:r>
      <w:r w:rsidR="00C2102B">
        <w:rPr>
          <w:rFonts w:cs="Arial"/>
          <w:shd w:val="clear" w:color="auto" w:fill="FFFFFF"/>
        </w:rPr>
        <w:t xml:space="preserve">se </w:t>
      </w:r>
      <w:r w:rsidR="00DB42A9" w:rsidRPr="00CC1F62">
        <w:rPr>
          <w:rFonts w:cs="Arial"/>
          <w:shd w:val="clear" w:color="auto" w:fill="FFFFFF"/>
        </w:rPr>
        <w:t>debe</w:t>
      </w:r>
      <w:r w:rsidR="00C2102B">
        <w:rPr>
          <w:rFonts w:cs="Arial"/>
          <w:shd w:val="clear" w:color="auto" w:fill="FFFFFF"/>
        </w:rPr>
        <w:t>n</w:t>
      </w:r>
      <w:r w:rsidR="00DB42A9" w:rsidRPr="00CC1F62">
        <w:rPr>
          <w:rFonts w:cs="Arial"/>
          <w:shd w:val="clear" w:color="auto" w:fill="FFFFFF"/>
        </w:rPr>
        <w:t xml:space="preserve"> emitir </w:t>
      </w:r>
      <w:r w:rsidR="00C2102B">
        <w:rPr>
          <w:rFonts w:cs="Arial"/>
          <w:shd w:val="clear" w:color="auto" w:fill="FFFFFF"/>
        </w:rPr>
        <w:t>de conformidad con</w:t>
      </w:r>
      <w:r w:rsidR="00DB42A9" w:rsidRPr="00CC1F62">
        <w:rPr>
          <w:rFonts w:cs="Arial"/>
          <w:shd w:val="clear" w:color="auto" w:fill="FFFFFF"/>
        </w:rPr>
        <w:t xml:space="preserve"> la Ley</w:t>
      </w:r>
      <w:r w:rsidR="00DB42A9">
        <w:rPr>
          <w:rFonts w:cs="Arial"/>
          <w:shd w:val="clear" w:color="auto" w:fill="FFFFFF"/>
        </w:rPr>
        <w:t xml:space="preserve"> para Regular las Instituciones de Tecnología</w:t>
      </w:r>
      <w:r w:rsidR="00C2102B">
        <w:rPr>
          <w:rFonts w:cs="Arial"/>
          <w:shd w:val="clear" w:color="auto" w:fill="FFFFFF"/>
        </w:rPr>
        <w:t xml:space="preserve"> Financiera (Ley</w:t>
      </w:r>
      <w:r>
        <w:rPr>
          <w:rFonts w:cs="Arial"/>
          <w:shd w:val="clear" w:color="auto" w:fill="FFFFFF"/>
        </w:rPr>
        <w:t xml:space="preserve"> FINTECH</w:t>
      </w:r>
      <w:r w:rsidR="00C2102B">
        <w:rPr>
          <w:rFonts w:cs="Arial"/>
          <w:shd w:val="clear" w:color="auto" w:fill="FFFFFF"/>
        </w:rPr>
        <w:t xml:space="preserve">), por lo que, en ésta se </w:t>
      </w:r>
      <w:r w:rsidR="00DB42A9" w:rsidRPr="00CC1F62">
        <w:rPr>
          <w:rFonts w:cs="Arial"/>
          <w:shd w:val="clear" w:color="auto" w:fill="FFFFFF"/>
        </w:rPr>
        <w:t>establecen los requerimientos que las IFPE deberán observar en los diversos aspectos de su operación</w:t>
      </w:r>
      <w:r w:rsidR="00DB42A9">
        <w:rPr>
          <w:rFonts w:cs="Arial"/>
          <w:shd w:val="clear" w:color="auto" w:fill="FFFFFF"/>
        </w:rPr>
        <w:t>, relacionados</w:t>
      </w:r>
      <w:r w:rsidR="00DB42A9" w:rsidRPr="00CC1F62">
        <w:rPr>
          <w:rFonts w:cs="Arial"/>
          <w:shd w:val="clear" w:color="auto" w:fill="FFFFFF"/>
        </w:rPr>
        <w:t xml:space="preserve"> con la emisión y administr</w:t>
      </w:r>
      <w:r w:rsidR="00DB42A9">
        <w:rPr>
          <w:rFonts w:cs="Arial"/>
          <w:shd w:val="clear" w:color="auto" w:fill="FFFFFF"/>
        </w:rPr>
        <w:t>ación de dichos tipos de fondos.</w:t>
      </w:r>
    </w:p>
    <w:p w:rsidR="00C2102B" w:rsidRDefault="00C2102B" w:rsidP="00DB42A9">
      <w:pPr>
        <w:spacing w:after="0" w:line="276" w:lineRule="auto"/>
        <w:rPr>
          <w:rFonts w:cs="Arial"/>
          <w:shd w:val="clear" w:color="auto" w:fill="FFFFFF"/>
        </w:rPr>
      </w:pPr>
    </w:p>
    <w:p w:rsidR="00DB42A9" w:rsidRDefault="00DB42A9" w:rsidP="00DB42A9">
      <w:pPr>
        <w:spacing w:after="0" w:line="276" w:lineRule="auto"/>
        <w:rPr>
          <w:rFonts w:cs="Arial"/>
          <w:shd w:val="clear" w:color="auto" w:fill="FFFFFF"/>
        </w:rPr>
      </w:pPr>
    </w:p>
    <w:p w:rsidR="00DB42A9" w:rsidRDefault="00C2102B" w:rsidP="00DB42A9">
      <w:pPr>
        <w:spacing w:after="0" w:line="276" w:lineRule="auto"/>
        <w:rPr>
          <w:rFonts w:cs="Arial"/>
          <w:shd w:val="clear" w:color="auto" w:fill="FFFFFF"/>
        </w:rPr>
      </w:pPr>
      <w:r>
        <w:rPr>
          <w:rFonts w:cs="Arial"/>
          <w:shd w:val="clear" w:color="auto" w:fill="FFFFFF"/>
        </w:rPr>
        <w:t>Por lo que</w:t>
      </w:r>
      <w:r w:rsidR="00DB42A9">
        <w:rPr>
          <w:rFonts w:cs="Arial"/>
          <w:shd w:val="clear" w:color="auto" w:fill="FFFFFF"/>
        </w:rPr>
        <w:t>, la</w:t>
      </w:r>
      <w:r w:rsidR="00DB42A9" w:rsidRPr="00CC1F62">
        <w:rPr>
          <w:rFonts w:cs="Arial"/>
          <w:shd w:val="clear" w:color="auto" w:fill="FFFFFF"/>
        </w:rPr>
        <w:t xml:space="preserve"> Circular </w:t>
      </w:r>
      <w:r w:rsidR="00DB42A9">
        <w:rPr>
          <w:rFonts w:cs="Arial"/>
          <w:shd w:val="clear" w:color="auto" w:fill="FFFFFF"/>
        </w:rPr>
        <w:t>pretende regular, entre otros aspectos,</w:t>
      </w:r>
      <w:r w:rsidR="00DB42A9" w:rsidRPr="00CC1F62">
        <w:rPr>
          <w:rFonts w:cs="Arial"/>
          <w:shd w:val="clear" w:color="auto" w:fill="FFFFFF"/>
        </w:rPr>
        <w:t xml:space="preserve"> </w:t>
      </w:r>
      <w:r w:rsidR="00DB42A9">
        <w:rPr>
          <w:rFonts w:eastAsia="Times New Roman" w:cs="Arial"/>
          <w:lang w:eastAsia="es-MX"/>
        </w:rPr>
        <w:t>l</w:t>
      </w:r>
      <w:r w:rsidR="00DB42A9" w:rsidRPr="00CC1F62">
        <w:rPr>
          <w:rFonts w:eastAsia="Times New Roman" w:cs="Arial"/>
          <w:lang w:eastAsia="es-MX"/>
        </w:rPr>
        <w:t>as características de las operaciones que lleven a cabo l</w:t>
      </w:r>
      <w:r w:rsidR="00DB42A9">
        <w:rPr>
          <w:rFonts w:eastAsia="Times New Roman" w:cs="Arial"/>
          <w:lang w:eastAsia="es-MX"/>
        </w:rPr>
        <w:t>as IFPE a que se refiere la Ley</w:t>
      </w:r>
      <w:r w:rsidR="005519E1">
        <w:rPr>
          <w:rFonts w:eastAsia="Times New Roman" w:cs="Arial"/>
          <w:lang w:eastAsia="es-MX"/>
        </w:rPr>
        <w:t xml:space="preserve"> FINTECH</w:t>
      </w:r>
      <w:r w:rsidR="00DB42A9">
        <w:rPr>
          <w:rFonts w:eastAsia="Times New Roman" w:cs="Arial"/>
          <w:lang w:eastAsia="es-MX"/>
        </w:rPr>
        <w:t>, la determinación de</w:t>
      </w:r>
      <w:r w:rsidR="00DB42A9" w:rsidRPr="00CC1F62">
        <w:rPr>
          <w:rFonts w:cs="Arial"/>
          <w:shd w:val="clear" w:color="auto" w:fill="FFFFFF"/>
        </w:rPr>
        <w:t xml:space="preserve"> los términos y condiciones respecto </w:t>
      </w:r>
      <w:r w:rsidR="00DB42A9">
        <w:rPr>
          <w:rFonts w:cs="Arial"/>
          <w:shd w:val="clear" w:color="auto" w:fill="FFFFFF"/>
        </w:rPr>
        <w:t>a</w:t>
      </w:r>
      <w:r w:rsidR="00DB42A9" w:rsidRPr="00CC1F62">
        <w:rPr>
          <w:rFonts w:cs="Arial"/>
          <w:shd w:val="clear" w:color="auto" w:fill="FFFFFF"/>
        </w:rPr>
        <w:t xml:space="preserve"> la emisión de fondos de pago electrónico referidos a moneda extranjera y, en general, la realización de operaciones con moneda extranjera, así como la prestación del servicio de transmisión de dinero a que se refiere </w:t>
      </w:r>
      <w:r w:rsidR="00DB42A9">
        <w:rPr>
          <w:rFonts w:cs="Arial"/>
          <w:shd w:val="clear" w:color="auto" w:fill="FFFFFF"/>
        </w:rPr>
        <w:t xml:space="preserve">dicha </w:t>
      </w:r>
      <w:r w:rsidR="005519E1">
        <w:rPr>
          <w:rFonts w:cs="Arial"/>
          <w:shd w:val="clear" w:color="auto" w:fill="FFFFFF"/>
        </w:rPr>
        <w:t>legislación</w:t>
      </w:r>
      <w:r w:rsidR="00DB42A9">
        <w:rPr>
          <w:rFonts w:cs="Arial"/>
          <w:shd w:val="clear" w:color="auto" w:fill="FFFFFF"/>
        </w:rPr>
        <w:t>, en moneda extranjera.</w:t>
      </w:r>
    </w:p>
    <w:p w:rsidR="00DB42A9" w:rsidRDefault="00DB42A9" w:rsidP="00DB42A9">
      <w:pPr>
        <w:spacing w:after="0" w:line="276" w:lineRule="auto"/>
        <w:rPr>
          <w:rFonts w:cs="Arial"/>
          <w:shd w:val="clear" w:color="auto" w:fill="FFFFFF"/>
        </w:rPr>
      </w:pPr>
    </w:p>
    <w:p w:rsidR="00DB42A9" w:rsidRDefault="00DB42A9" w:rsidP="00DB42A9">
      <w:pPr>
        <w:spacing w:after="0" w:line="276" w:lineRule="auto"/>
        <w:rPr>
          <w:rFonts w:cs="Arial"/>
          <w:shd w:val="clear" w:color="auto" w:fill="FFFFFF"/>
        </w:rPr>
      </w:pPr>
      <w:r>
        <w:rPr>
          <w:rFonts w:cs="Arial"/>
          <w:shd w:val="clear" w:color="auto" w:fill="FFFFFF"/>
        </w:rPr>
        <w:t>Asimismo, se pretende d</w:t>
      </w:r>
      <w:r w:rsidRPr="00CC1F62">
        <w:rPr>
          <w:rFonts w:cs="Arial"/>
          <w:shd w:val="clear" w:color="auto" w:fill="FFFFFF"/>
        </w:rPr>
        <w:t xml:space="preserve">eterminar el límite </w:t>
      </w:r>
      <w:r w:rsidR="00667F3C">
        <w:rPr>
          <w:rFonts w:cs="Arial"/>
          <w:shd w:val="clear" w:color="auto" w:fill="FFFFFF"/>
        </w:rPr>
        <w:t>del</w:t>
      </w:r>
      <w:r w:rsidRPr="00CC1F62">
        <w:rPr>
          <w:rFonts w:cs="Arial"/>
          <w:shd w:val="clear" w:color="auto" w:fill="FFFFFF"/>
        </w:rPr>
        <w:t xml:space="preserve"> monto de los créditos o préstamos por sobregiros que las </w:t>
      </w:r>
      <w:r>
        <w:rPr>
          <w:rFonts w:cs="Arial"/>
          <w:shd w:val="clear" w:color="auto" w:fill="FFFFFF"/>
        </w:rPr>
        <w:t>IFPE otorguen en términos de la Ley</w:t>
      </w:r>
      <w:r w:rsidR="005519E1">
        <w:rPr>
          <w:rFonts w:cs="Arial"/>
          <w:shd w:val="clear" w:color="auto" w:fill="FFFFFF"/>
        </w:rPr>
        <w:t xml:space="preserve"> FINTECH</w:t>
      </w:r>
      <w:r>
        <w:rPr>
          <w:rFonts w:cs="Arial"/>
          <w:shd w:val="clear" w:color="auto" w:fill="FFFFFF"/>
        </w:rPr>
        <w:t>, así como e</w:t>
      </w:r>
      <w:r w:rsidRPr="00CC1F62">
        <w:rPr>
          <w:rFonts w:cs="Arial"/>
          <w:shd w:val="clear" w:color="auto" w:fill="FFFFFF"/>
        </w:rPr>
        <w:t xml:space="preserve">stablecer los términos y condiciones para el ofrecimiento de beneficios no monetarios por parte de las </w:t>
      </w:r>
      <w:r>
        <w:rPr>
          <w:rFonts w:cs="Arial"/>
          <w:shd w:val="clear" w:color="auto" w:fill="FFFFFF"/>
        </w:rPr>
        <w:t>IFPE, entre otros.</w:t>
      </w:r>
    </w:p>
    <w:p w:rsidR="00DB42A9" w:rsidRDefault="00DB42A9" w:rsidP="00DB42A9">
      <w:pPr>
        <w:spacing w:after="0" w:line="276" w:lineRule="auto"/>
        <w:rPr>
          <w:rFonts w:cs="Arial"/>
          <w:shd w:val="clear" w:color="auto" w:fill="FFFFFF"/>
        </w:rPr>
      </w:pPr>
    </w:p>
    <w:p w:rsidR="00DB42A9" w:rsidRDefault="00DB42A9" w:rsidP="00DB42A9">
      <w:pPr>
        <w:spacing w:after="0" w:line="276" w:lineRule="auto"/>
        <w:rPr>
          <w:rFonts w:cs="Arial"/>
          <w:shd w:val="clear" w:color="auto" w:fill="FFFFFF"/>
        </w:rPr>
      </w:pPr>
      <w:r>
        <w:rPr>
          <w:rFonts w:cs="Arial"/>
          <w:shd w:val="clear" w:color="auto" w:fill="FFFFFF"/>
        </w:rPr>
        <w:t xml:space="preserve">Por otra parte, </w:t>
      </w:r>
      <w:r w:rsidR="004E733F">
        <w:rPr>
          <w:rFonts w:cs="Arial"/>
          <w:shd w:val="clear" w:color="auto" w:fill="FFFFFF"/>
        </w:rPr>
        <w:t>dicha Circular establece</w:t>
      </w:r>
      <w:r w:rsidRPr="00CC1F62">
        <w:rPr>
          <w:rFonts w:cs="Arial"/>
          <w:shd w:val="clear" w:color="auto" w:fill="FFFFFF"/>
        </w:rPr>
        <w:t xml:space="preserve"> la información relacionada con las actividades y Operaciones de las </w:t>
      </w:r>
      <w:r>
        <w:rPr>
          <w:rFonts w:cs="Arial"/>
          <w:shd w:val="clear" w:color="auto" w:fill="FFFFFF"/>
        </w:rPr>
        <w:t>IFPE</w:t>
      </w:r>
      <w:r w:rsidRPr="00CC1F62">
        <w:rPr>
          <w:rFonts w:cs="Arial"/>
          <w:shd w:val="clear" w:color="auto" w:fill="FFFFFF"/>
        </w:rPr>
        <w:t xml:space="preserve"> que estas deberán reportar al Banco de México, así como la periodicidad correspondiente.</w:t>
      </w:r>
    </w:p>
    <w:p w:rsidR="00DB42A9" w:rsidRDefault="00DB42A9" w:rsidP="00DB42A9">
      <w:pPr>
        <w:spacing w:after="0" w:line="276" w:lineRule="auto"/>
        <w:rPr>
          <w:rFonts w:cs="Arial"/>
        </w:rPr>
      </w:pPr>
    </w:p>
    <w:p w:rsidR="00DB42A9" w:rsidRDefault="00DB42A9" w:rsidP="00DB42A9">
      <w:pPr>
        <w:spacing w:after="0" w:line="276" w:lineRule="auto"/>
        <w:rPr>
          <w:rFonts w:cs="Arial"/>
        </w:rPr>
      </w:pPr>
      <w:r>
        <w:rPr>
          <w:rFonts w:cs="Arial"/>
        </w:rPr>
        <w:t>Es importante mencionar que</w:t>
      </w:r>
      <w:r w:rsidR="00C2102B">
        <w:rPr>
          <w:rFonts w:cs="Arial"/>
        </w:rPr>
        <w:t>,</w:t>
      </w:r>
      <w:r>
        <w:rPr>
          <w:rFonts w:cs="Arial"/>
        </w:rPr>
        <w:t xml:space="preserve"> las empresas</w:t>
      </w:r>
      <w:r w:rsidR="005519E1">
        <w:rPr>
          <w:rFonts w:cs="Arial"/>
        </w:rPr>
        <w:t xml:space="preserve"> que pretendan funcionar como IFC</w:t>
      </w:r>
      <w:r>
        <w:rPr>
          <w:rFonts w:cs="Arial"/>
        </w:rPr>
        <w:t xml:space="preserve"> deberán contar con un capital considerable, ya que dichas disposiciones establecen montos de capital mínimo b</w:t>
      </w:r>
      <w:r w:rsidR="005519E1">
        <w:rPr>
          <w:rFonts w:cs="Arial"/>
        </w:rPr>
        <w:t>astante altos para poder operar,</w:t>
      </w:r>
      <w:r>
        <w:rPr>
          <w:rFonts w:cs="Arial"/>
        </w:rPr>
        <w:t xml:space="preserve"> a diferencia de otros países </w:t>
      </w:r>
      <w:r w:rsidR="008B78A6">
        <w:rPr>
          <w:rFonts w:cs="Arial"/>
        </w:rPr>
        <w:t xml:space="preserve">en </w:t>
      </w:r>
      <w:r>
        <w:rPr>
          <w:rFonts w:cs="Arial"/>
        </w:rPr>
        <w:t>que dicho capital es considerablemente más bajo.</w:t>
      </w:r>
    </w:p>
    <w:p w:rsidR="00DB42A9" w:rsidRDefault="00DB42A9" w:rsidP="00DB42A9">
      <w:pPr>
        <w:spacing w:after="0" w:line="276" w:lineRule="auto"/>
        <w:rPr>
          <w:rFonts w:cs="Arial"/>
        </w:rPr>
      </w:pPr>
    </w:p>
    <w:p w:rsidR="00DB42A9" w:rsidRDefault="00DB42A9" w:rsidP="00DB42A9">
      <w:pPr>
        <w:spacing w:after="0" w:line="276" w:lineRule="auto"/>
        <w:rPr>
          <w:rFonts w:cs="Arial"/>
        </w:rPr>
      </w:pPr>
      <w:r>
        <w:rPr>
          <w:rFonts w:cs="Arial"/>
        </w:rPr>
        <w:t xml:space="preserve">Esta situación representará una dificultad para las empresas pequeñas que deseen obtener la autorización correspondiente. </w:t>
      </w:r>
    </w:p>
    <w:p w:rsidR="00DB42A9" w:rsidRDefault="00DB42A9" w:rsidP="00DB42A9">
      <w:pPr>
        <w:spacing w:after="0" w:line="276" w:lineRule="auto"/>
        <w:rPr>
          <w:rFonts w:cs="Arial"/>
        </w:rPr>
      </w:pPr>
    </w:p>
    <w:p w:rsidR="00DB42A9" w:rsidRPr="00CC1F62" w:rsidRDefault="00DB42A9" w:rsidP="00DB42A9">
      <w:pPr>
        <w:spacing w:after="0" w:line="276" w:lineRule="auto"/>
        <w:rPr>
          <w:rFonts w:cs="Arial"/>
        </w:rPr>
      </w:pPr>
      <w:r w:rsidRPr="00CC1F62">
        <w:rPr>
          <w:rFonts w:cs="Arial"/>
        </w:rPr>
        <w:t>Al respecto, se</w:t>
      </w:r>
      <w:r>
        <w:rPr>
          <w:rFonts w:cs="Arial"/>
        </w:rPr>
        <w:t>ñalamos que</w:t>
      </w:r>
      <w:r w:rsidRPr="00CC1F62">
        <w:rPr>
          <w:rFonts w:cs="Arial"/>
        </w:rPr>
        <w:t xml:space="preserve"> las Disposiciones Generales estarán vigentes a partir de los quince días siguientes a la fecha de su publicación en el DOF y las Disp</w:t>
      </w:r>
      <w:r>
        <w:rPr>
          <w:rFonts w:cs="Arial"/>
        </w:rPr>
        <w:t>osiciones del Artículo 58 entraron</w:t>
      </w:r>
      <w:r w:rsidRPr="00CC1F62">
        <w:rPr>
          <w:rFonts w:cs="Arial"/>
        </w:rPr>
        <w:t xml:space="preserve"> </w:t>
      </w:r>
      <w:r>
        <w:rPr>
          <w:rFonts w:cs="Arial"/>
        </w:rPr>
        <w:t>en vigor a partir del día 11 de septiembre del presente año</w:t>
      </w:r>
      <w:r w:rsidRPr="00CC1F62">
        <w:rPr>
          <w:rFonts w:cs="Arial"/>
        </w:rPr>
        <w:t>.</w:t>
      </w:r>
    </w:p>
    <w:p w:rsidR="00DB42A9" w:rsidRPr="00CC1F62" w:rsidRDefault="00DB42A9" w:rsidP="00DB42A9">
      <w:pPr>
        <w:spacing w:after="0" w:line="276" w:lineRule="auto"/>
        <w:rPr>
          <w:rFonts w:cs="Arial"/>
        </w:rPr>
      </w:pPr>
    </w:p>
    <w:p w:rsidR="00DB42A9" w:rsidRPr="00CC1F62" w:rsidRDefault="005519E1" w:rsidP="00DB42A9">
      <w:pPr>
        <w:spacing w:after="0" w:line="276" w:lineRule="auto"/>
        <w:rPr>
          <w:rFonts w:cs="Arial"/>
        </w:rPr>
      </w:pPr>
      <w:r>
        <w:rPr>
          <w:rFonts w:cs="Arial"/>
        </w:rPr>
        <w:t>Por último, ponemos a su disposición nuestros servicios de Consultoría respecto a</w:t>
      </w:r>
      <w:r w:rsidR="00DB42A9">
        <w:rPr>
          <w:rFonts w:cs="Arial"/>
        </w:rPr>
        <w:t xml:space="preserve"> la aplicabilidad de las disposiciones antes señaladas, con el objeto de que se puedan constituir y operar las ITF de </w:t>
      </w:r>
      <w:r w:rsidR="00C2102B">
        <w:rPr>
          <w:rFonts w:cs="Arial"/>
        </w:rPr>
        <w:t>conformidad</w:t>
      </w:r>
      <w:r w:rsidR="00DB42A9">
        <w:rPr>
          <w:rFonts w:cs="Arial"/>
        </w:rPr>
        <w:t xml:space="preserve"> con la Ley</w:t>
      </w:r>
      <w:r>
        <w:rPr>
          <w:rFonts w:cs="Arial"/>
        </w:rPr>
        <w:t xml:space="preserve"> FINTECH</w:t>
      </w:r>
      <w:r w:rsidR="00DB42A9">
        <w:rPr>
          <w:rFonts w:cs="Arial"/>
        </w:rPr>
        <w:t xml:space="preserve">. </w:t>
      </w:r>
      <w:r w:rsidR="00DB42A9" w:rsidRPr="00CC1F62">
        <w:rPr>
          <w:rFonts w:cs="Arial"/>
        </w:rPr>
        <w:t xml:space="preserve"> </w:t>
      </w:r>
    </w:p>
    <w:p w:rsidR="00A214EC" w:rsidRPr="006170DB" w:rsidRDefault="00A214EC" w:rsidP="00E5558E">
      <w:pPr>
        <w:tabs>
          <w:tab w:val="left" w:pos="10348"/>
        </w:tabs>
        <w:spacing w:after="0" w:line="276" w:lineRule="auto"/>
        <w:rPr>
          <w:rFonts w:cs="Arial"/>
        </w:rPr>
      </w:pPr>
    </w:p>
    <w:p w:rsidR="00F1401B" w:rsidRPr="001256BC" w:rsidRDefault="00F1401B" w:rsidP="00053E11">
      <w:pPr>
        <w:tabs>
          <w:tab w:val="left" w:pos="8776"/>
        </w:tabs>
        <w:spacing w:after="0" w:line="276" w:lineRule="auto"/>
        <w:rPr>
          <w:rFonts w:cs="Arial"/>
        </w:rPr>
      </w:pPr>
      <w:r w:rsidRPr="001256BC">
        <w:rPr>
          <w:rFonts w:cs="Arial"/>
        </w:rPr>
        <w:t>Sin más por el momento, quedamos a sus órdenes en caso de cualquier duda o comentario adicional que requieran en relación con el contenido del presente.</w:t>
      </w:r>
    </w:p>
    <w:p w:rsidR="004B2332" w:rsidRPr="001256BC" w:rsidRDefault="004B2332" w:rsidP="00551FC7">
      <w:pPr>
        <w:spacing w:after="0" w:line="276" w:lineRule="auto"/>
        <w:rPr>
          <w:rFonts w:cs="Arial"/>
        </w:rPr>
      </w:pPr>
    </w:p>
    <w:p w:rsidR="007628D8" w:rsidRDefault="007628D8">
      <w:pPr>
        <w:rPr>
          <w:rFonts w:cs="Arial"/>
        </w:rPr>
      </w:pPr>
    </w:p>
    <w:p w:rsidR="00CD467B" w:rsidRPr="001256BC" w:rsidRDefault="00CD467B" w:rsidP="00551FC7">
      <w:pPr>
        <w:spacing w:after="0" w:line="276" w:lineRule="auto"/>
        <w:jc w:val="right"/>
        <w:rPr>
          <w:rFonts w:cs="Arial"/>
        </w:rPr>
      </w:pPr>
      <w:r w:rsidRPr="001256BC">
        <w:rPr>
          <w:rFonts w:cs="Arial"/>
        </w:rPr>
        <w:t>Saludos cordiales,</w:t>
      </w:r>
    </w:p>
    <w:p w:rsidR="00A474A3" w:rsidRDefault="00A474A3" w:rsidP="00551FC7">
      <w:pPr>
        <w:spacing w:after="0" w:line="276" w:lineRule="auto"/>
        <w:jc w:val="right"/>
        <w:rPr>
          <w:rFonts w:cs="Arial"/>
          <w:b/>
          <w:i/>
        </w:rPr>
      </w:pPr>
    </w:p>
    <w:p w:rsidR="00A474A3" w:rsidRDefault="00A474A3" w:rsidP="00551FC7">
      <w:pPr>
        <w:spacing w:after="0" w:line="276" w:lineRule="auto"/>
        <w:jc w:val="right"/>
        <w:rPr>
          <w:rFonts w:cs="Arial"/>
          <w:b/>
          <w:i/>
        </w:rPr>
      </w:pPr>
    </w:p>
    <w:p w:rsidR="00CD467B" w:rsidRPr="001256BC" w:rsidRDefault="00CD467B" w:rsidP="00551FC7">
      <w:pPr>
        <w:spacing w:after="0" w:line="276" w:lineRule="auto"/>
        <w:jc w:val="right"/>
        <w:rPr>
          <w:rFonts w:cs="Arial"/>
          <w:b/>
          <w:i/>
        </w:rPr>
      </w:pPr>
      <w:r w:rsidRPr="001256BC">
        <w:rPr>
          <w:rFonts w:cs="Arial"/>
          <w:b/>
          <w:i/>
        </w:rPr>
        <w:t>Herbert Bettinger Barrios</w:t>
      </w:r>
    </w:p>
    <w:p w:rsidR="002A0E46" w:rsidRDefault="002A0E46" w:rsidP="00551FC7">
      <w:pPr>
        <w:spacing w:after="0" w:line="276" w:lineRule="auto"/>
        <w:jc w:val="right"/>
        <w:rPr>
          <w:rFonts w:cs="Arial"/>
          <w:b/>
          <w:i/>
        </w:rPr>
      </w:pPr>
    </w:p>
    <w:p w:rsidR="00FC78B2" w:rsidRPr="00704096" w:rsidRDefault="00CD467B" w:rsidP="00704096">
      <w:pPr>
        <w:spacing w:after="0" w:line="276" w:lineRule="auto"/>
        <w:jc w:val="right"/>
        <w:rPr>
          <w:rFonts w:cs="Arial"/>
          <w:b/>
        </w:rPr>
      </w:pPr>
      <w:r w:rsidRPr="001256BC">
        <w:rPr>
          <w:rFonts w:cs="Arial"/>
          <w:b/>
        </w:rPr>
        <w:t>SOCIO DIRECTOR</w:t>
      </w:r>
    </w:p>
    <w:sectPr w:rsidR="00FC78B2" w:rsidRPr="00704096" w:rsidSect="002D6854">
      <w:headerReference w:type="default" r:id="rId10"/>
      <w:footerReference w:type="default" r:id="rId11"/>
      <w:headerReference w:type="first" r:id="rId12"/>
      <w:footerReference w:type="first" r:id="rId13"/>
      <w:pgSz w:w="12240" w:h="15840"/>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CE5" w:rsidRDefault="009D1CE5" w:rsidP="002D6AD5">
      <w:pPr>
        <w:spacing w:after="0" w:line="240" w:lineRule="auto"/>
      </w:pPr>
      <w:r>
        <w:separator/>
      </w:r>
    </w:p>
  </w:endnote>
  <w:endnote w:type="continuationSeparator" w:id="0">
    <w:p w:rsidR="009D1CE5" w:rsidRDefault="009D1CE5" w:rsidP="002D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ModernNo.216W01-Bd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70060"/>
      <w:docPartObj>
        <w:docPartGallery w:val="Page Numbers (Bottom of Page)"/>
        <w:docPartUnique/>
      </w:docPartObj>
    </w:sdtPr>
    <w:sdtEndPr>
      <w:rPr>
        <w:rFonts w:cs="Arial"/>
        <w:sz w:val="18"/>
      </w:rPr>
    </w:sdtEndPr>
    <w:sdtContent>
      <w:p w:rsidR="00ED5C34" w:rsidRPr="000F1D33" w:rsidRDefault="002A0E46">
        <w:pPr>
          <w:pStyle w:val="Piedepgina"/>
          <w:jc w:val="right"/>
          <w:rPr>
            <w:rFonts w:cs="Arial"/>
            <w:sz w:val="1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15426E4C" wp14:editId="308E10C2">
                  <wp:simplePos x="0" y="0"/>
                  <wp:positionH relativeFrom="rightMargin">
                    <wp:align>left</wp:align>
                  </wp:positionH>
                  <wp:positionV relativeFrom="margin">
                    <wp:posOffset>8192875</wp:posOffset>
                  </wp:positionV>
                  <wp:extent cx="320722" cy="361362"/>
                  <wp:effectExtent l="0" t="0" r="3175"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22" cy="361362"/>
                          </a:xfrm>
                          <a:prstGeom prst="ellipse">
                            <a:avLst/>
                          </a:prstGeom>
                          <a:noFill/>
                          <a:ln>
                            <a:noFill/>
                          </a:ln>
                        </wps:spPr>
                        <wps:txbx>
                          <w:txbxContent>
                            <w:p w:rsidR="00CD467B" w:rsidRPr="004B091F" w:rsidRDefault="00CD467B" w:rsidP="00CD467B">
                              <w:pPr>
                                <w:rPr>
                                  <w:rStyle w:val="Nmerodepgina"/>
                                  <w:rFonts w:cs="Arial"/>
                                  <w:b/>
                                  <w:sz w:val="18"/>
                                  <w:szCs w:val="18"/>
                                </w:rPr>
                              </w:pPr>
                              <w:r w:rsidRPr="004B091F">
                                <w:rPr>
                                  <w:rFonts w:asciiTheme="minorHAnsi" w:hAnsiTheme="minorHAnsi"/>
                                </w:rPr>
                                <w:fldChar w:fldCharType="begin"/>
                              </w:r>
                              <w:r w:rsidRPr="004B091F">
                                <w:rPr>
                                  <w:rFonts w:cs="Arial"/>
                                  <w:b/>
                                  <w:sz w:val="18"/>
                                  <w:szCs w:val="18"/>
                                </w:rPr>
                                <w:instrText>PAGE    \* MERGEFORMAT</w:instrText>
                              </w:r>
                              <w:r w:rsidRPr="004B091F">
                                <w:rPr>
                                  <w:rFonts w:asciiTheme="minorHAnsi" w:hAnsiTheme="minorHAnsi"/>
                                </w:rPr>
                                <w:fldChar w:fldCharType="separate"/>
                              </w:r>
                              <w:r w:rsidR="002D6854" w:rsidRPr="002D6854">
                                <w:rPr>
                                  <w:rStyle w:val="Nmerodepgina"/>
                                  <w:rFonts w:asciiTheme="minorHAnsi" w:hAnsiTheme="minorHAnsi"/>
                                  <w:bCs/>
                                  <w:noProof/>
                                  <w:lang w:val="es-ES"/>
                                </w:rPr>
                                <w:t>2</w:t>
                              </w:r>
                              <w:r w:rsidRPr="004B091F">
                                <w:rPr>
                                  <w:rStyle w:val="Nmerodepgina"/>
                                  <w:rFonts w:cs="Arial"/>
                                  <w:b/>
                                  <w:bCs/>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26E4C" id="Elipse 1" o:spid="_x0000_s1026" style="position:absolute;left:0;text-align:left;margin-left:0;margin-top:645.1pt;width:25.25pt;height:28.4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Xt5wEAALQDAAAOAAAAZHJzL2Uyb0RvYy54bWysU1Fv0zAQfkfiP1h+p2lS6FDUdJo2hpAG&#10;mzT4AY7jJBaOz5zdJuXXc3basrG3iRfrfD5//r7vzpvLaTBsr9BrsBXPF0vOlJXQaNtV/Mf323cf&#10;OfNB2EYYsKriB+X55fbtm83oSlVAD6ZRyAjE+nJ0Fe9DcGWWedmrQfgFOGXpsAUcRKAtdlmDYiT0&#10;wWTFcrnORsDGIUjlPWVv5kO+Tfhtq2S4b1uvAjMVJ24hrZjWOq7ZdiPKDoXrtTzSEK9gMQht6dEz&#10;1I0Igu1Qv4AatETw0IaFhCGDttVSJQ2kJl/+o+axF04lLWSOd2eb/P+Dld/2D8h0Q73jzIqBWvTJ&#10;aOcVy6M3o/MllTy6B4zqvLsD+dMzC9e9sJ26QoSxV6IhRqk+e3YhbjxdZfX4FRqCFrsAyaapxSEC&#10;kgFsSt04nLuhpsAkJVfF8qIoOJN0tFrnq3URGWWiPF126MNnBQOLQcWVScQTvtjf+TBXn6ricxZu&#10;tTGp58Y+SxBszCT+kfIsPUz1dHShhuZAShDmEaKRp6AH/M3ZSONTcf9rJ1BxZr5YciPOWgref7go&#10;aIOnbP00K6wkiIoHzubwOsyzuXOou55eyJMcC1fkXKuTpOjqzObIl0Yj+XIc4zh7T/ep6u9n2/4B&#10;AAD//wMAUEsDBBQABgAIAAAAIQCyS3j+3wAAAAkBAAAPAAAAZHJzL2Rvd25yZXYueG1sTI/NTsMw&#10;EITvSLyDtUjcqJ1ASxriVBU/B4Q40HLpzYm3SUS8jmK3CW/PcoLjzoxmvyk2s+vFGcfQedKQLBQI&#10;pNrbjhoNn/uXmwxEiIas6T2hhm8MsCkvLwqTWz/RB553sRFcQiE3GtoYh1zKULfoTFj4AYm9ox+d&#10;iXyOjbSjmbjc9TJVaiWd6Yg/tGbAxxbrr93JadiG/VM1Zc/HtDpMyVu2sq+Zedf6+mrePoCIOMe/&#10;MPziMzqUzFT5E9kgeg08JLKarlUKgv2lWoKoWLm9u09AloX8v6D8AQAA//8DAFBLAQItABQABgAI&#10;AAAAIQC2gziS/gAAAOEBAAATAAAAAAAAAAAAAAAAAAAAAABbQ29udGVudF9UeXBlc10ueG1sUEsB&#10;Ai0AFAAGAAgAAAAhADj9If/WAAAAlAEAAAsAAAAAAAAAAAAAAAAALwEAAF9yZWxzLy5yZWxzUEsB&#10;Ai0AFAAGAAgAAAAhAFyp1e3nAQAAtAMAAA4AAAAAAAAAAAAAAAAALgIAAGRycy9lMm9Eb2MueG1s&#10;UEsBAi0AFAAGAAgAAAAhALJLeP7fAAAACQEAAA8AAAAAAAAAAAAAAAAAQQQAAGRycy9kb3ducmV2&#10;LnhtbFBLBQYAAAAABAAEAPMAAABNBQAAAAA=&#10;" o:allowincell="f" filled="f" stroked="f">
                  <v:textbox inset="0,,0">
                    <w:txbxContent>
                      <w:p w:rsidR="00CD467B" w:rsidRPr="004B091F" w:rsidRDefault="00CD467B" w:rsidP="00CD467B">
                        <w:pPr>
                          <w:rPr>
                            <w:rStyle w:val="Nmerodepgina"/>
                            <w:rFonts w:cs="Arial"/>
                            <w:b/>
                            <w:sz w:val="18"/>
                            <w:szCs w:val="18"/>
                          </w:rPr>
                        </w:pPr>
                        <w:r w:rsidRPr="004B091F">
                          <w:rPr>
                            <w:rFonts w:asciiTheme="minorHAnsi" w:hAnsiTheme="minorHAnsi"/>
                          </w:rPr>
                          <w:fldChar w:fldCharType="begin"/>
                        </w:r>
                        <w:r w:rsidRPr="004B091F">
                          <w:rPr>
                            <w:rFonts w:cs="Arial"/>
                            <w:b/>
                            <w:sz w:val="18"/>
                            <w:szCs w:val="18"/>
                          </w:rPr>
                          <w:instrText>PAGE    \* MERGEFORMAT</w:instrText>
                        </w:r>
                        <w:r w:rsidRPr="004B091F">
                          <w:rPr>
                            <w:rFonts w:asciiTheme="minorHAnsi" w:hAnsiTheme="minorHAnsi"/>
                          </w:rPr>
                          <w:fldChar w:fldCharType="separate"/>
                        </w:r>
                        <w:r w:rsidR="002D6854" w:rsidRPr="002D6854">
                          <w:rPr>
                            <w:rStyle w:val="Nmerodepgina"/>
                            <w:rFonts w:asciiTheme="minorHAnsi" w:hAnsiTheme="minorHAnsi"/>
                            <w:bCs/>
                            <w:noProof/>
                            <w:lang w:val="es-ES"/>
                          </w:rPr>
                          <w:t>2</w:t>
                        </w:r>
                        <w:r w:rsidRPr="004B091F">
                          <w:rPr>
                            <w:rStyle w:val="Nmerodepgina"/>
                            <w:rFonts w:cs="Arial"/>
                            <w:b/>
                            <w:bCs/>
                            <w:sz w:val="18"/>
                            <w:szCs w:val="18"/>
                          </w:rPr>
                          <w:fldChar w:fldCharType="end"/>
                        </w:r>
                      </w:p>
                    </w:txbxContent>
                  </v:textbox>
                  <w10:wrap anchorx="margin" anchory="margin"/>
                </v:oval>
              </w:pict>
            </mc:Fallback>
          </mc:AlternateContent>
        </w:r>
        <w:r w:rsidR="00205D46">
          <w:rPr>
            <w:noProof/>
            <w:lang w:eastAsia="es-MX"/>
          </w:rPr>
          <w:drawing>
            <wp:anchor distT="0" distB="0" distL="114300" distR="114300" simplePos="0" relativeHeight="251660288" behindDoc="0" locked="0" layoutInCell="1" allowOverlap="1" wp14:anchorId="3350EFE6" wp14:editId="43100AC5">
              <wp:simplePos x="0" y="0"/>
              <wp:positionH relativeFrom="page">
                <wp:align>center</wp:align>
              </wp:positionH>
              <wp:positionV relativeFrom="paragraph">
                <wp:posOffset>45085</wp:posOffset>
              </wp:positionV>
              <wp:extent cx="6770542" cy="564543"/>
              <wp:effectExtent l="0" t="0" r="0" b="0"/>
              <wp:wrapNone/>
              <wp:docPr id="62" name="Imagen 62" descr="bettinger hoj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inger hoja 1-02"/>
                      <pic:cNvPicPr>
                        <a:picLocks noChangeAspect="1" noChangeArrowheads="1"/>
                      </pic:cNvPicPr>
                    </pic:nvPicPr>
                    <pic:blipFill rotWithShape="1">
                      <a:blip r:embed="rId1">
                        <a:extLst>
                          <a:ext uri="{28A0092B-C50C-407E-A947-70E740481C1C}">
                            <a14:useLocalDpi xmlns:a14="http://schemas.microsoft.com/office/drawing/2010/main" val="0"/>
                          </a:ext>
                        </a:extLst>
                      </a:blip>
                      <a:srcRect b="14432"/>
                      <a:stretch/>
                    </pic:blipFill>
                    <pic:spPr bwMode="auto">
                      <a:xfrm>
                        <a:off x="0" y="0"/>
                        <a:ext cx="6770542" cy="564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ED5C34" w:rsidRDefault="00ED5C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46" w:rsidRDefault="00205D46">
    <w:pPr>
      <w:pStyle w:val="Piedepgina"/>
    </w:pPr>
    <w:r>
      <w:rPr>
        <w:noProof/>
        <w:lang w:eastAsia="es-MX"/>
      </w:rPr>
      <w:drawing>
        <wp:anchor distT="0" distB="0" distL="114300" distR="114300" simplePos="0" relativeHeight="251666432" behindDoc="0" locked="0" layoutInCell="1" allowOverlap="1" wp14:anchorId="522520AA" wp14:editId="75630128">
          <wp:simplePos x="0" y="0"/>
          <wp:positionH relativeFrom="page">
            <wp:align>center</wp:align>
          </wp:positionH>
          <wp:positionV relativeFrom="paragraph">
            <wp:posOffset>-101600</wp:posOffset>
          </wp:positionV>
          <wp:extent cx="6770542" cy="564543"/>
          <wp:effectExtent l="0" t="0" r="0" b="0"/>
          <wp:wrapNone/>
          <wp:docPr id="66" name="Imagen 66" descr="bettinger hoj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inger hoja 1-02"/>
                  <pic:cNvPicPr>
                    <a:picLocks noChangeAspect="1" noChangeArrowheads="1"/>
                  </pic:cNvPicPr>
                </pic:nvPicPr>
                <pic:blipFill rotWithShape="1">
                  <a:blip r:embed="rId1">
                    <a:extLst>
                      <a:ext uri="{28A0092B-C50C-407E-A947-70E740481C1C}">
                        <a14:useLocalDpi xmlns:a14="http://schemas.microsoft.com/office/drawing/2010/main" val="0"/>
                      </a:ext>
                    </a:extLst>
                  </a:blip>
                  <a:srcRect b="14432"/>
                  <a:stretch/>
                </pic:blipFill>
                <pic:spPr bwMode="auto">
                  <a:xfrm>
                    <a:off x="0" y="0"/>
                    <a:ext cx="6770542" cy="564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CE5" w:rsidRDefault="009D1CE5" w:rsidP="002D6AD5">
      <w:pPr>
        <w:spacing w:after="0" w:line="240" w:lineRule="auto"/>
      </w:pPr>
      <w:r>
        <w:separator/>
      </w:r>
    </w:p>
  </w:footnote>
  <w:footnote w:type="continuationSeparator" w:id="0">
    <w:p w:rsidR="009D1CE5" w:rsidRDefault="009D1CE5" w:rsidP="002D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C34" w:rsidRDefault="00277D41" w:rsidP="002D6AD5">
    <w:pPr>
      <w:pStyle w:val="Encabezado"/>
      <w:jc w:val="center"/>
    </w:pPr>
    <w:r w:rsidRPr="00277D41">
      <w:rPr>
        <w:noProof/>
      </w:rPr>
      <w:drawing>
        <wp:anchor distT="0" distB="0" distL="114300" distR="114300" simplePos="0" relativeHeight="251679744" behindDoc="0" locked="0" layoutInCell="1" allowOverlap="1" wp14:anchorId="6168F89B" wp14:editId="13163DAF">
          <wp:simplePos x="0" y="0"/>
          <wp:positionH relativeFrom="margin">
            <wp:posOffset>-718185</wp:posOffset>
          </wp:positionH>
          <wp:positionV relativeFrom="paragraph">
            <wp:posOffset>109855</wp:posOffset>
          </wp:positionV>
          <wp:extent cx="1371600" cy="37592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75920"/>
                  </a:xfrm>
                  <a:prstGeom prst="rect">
                    <a:avLst/>
                  </a:prstGeom>
                </pic:spPr>
              </pic:pic>
            </a:graphicData>
          </a:graphic>
          <wp14:sizeRelH relativeFrom="page">
            <wp14:pctWidth>0</wp14:pctWidth>
          </wp14:sizeRelH>
          <wp14:sizeRelV relativeFrom="page">
            <wp14:pctHeight>0</wp14:pctHeight>
          </wp14:sizeRelV>
        </wp:anchor>
      </w:drawing>
    </w:r>
    <w:r w:rsidRPr="00277D41">
      <w:rPr>
        <w:noProof/>
      </w:rPr>
      <w:drawing>
        <wp:anchor distT="0" distB="0" distL="114300" distR="114300" simplePos="0" relativeHeight="251682816" behindDoc="1" locked="0" layoutInCell="1" allowOverlap="1" wp14:anchorId="5C5CA503" wp14:editId="69335A79">
          <wp:simplePos x="0" y="0"/>
          <wp:positionH relativeFrom="page">
            <wp:posOffset>-42545</wp:posOffset>
          </wp:positionH>
          <wp:positionV relativeFrom="paragraph">
            <wp:posOffset>-7620</wp:posOffset>
          </wp:positionV>
          <wp:extent cx="7806690" cy="891540"/>
          <wp:effectExtent l="0" t="0" r="3810" b="381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690" cy="891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7B" w:rsidRDefault="00277D41">
    <w:pPr>
      <w:pStyle w:val="Encabezado"/>
    </w:pPr>
    <w:r w:rsidRPr="0067111A">
      <w:rPr>
        <w:noProof/>
      </w:rPr>
      <mc:AlternateContent>
        <mc:Choice Requires="wps">
          <w:drawing>
            <wp:anchor distT="0" distB="0" distL="114300" distR="114300" simplePos="0" relativeHeight="251673600" behindDoc="0" locked="0" layoutInCell="1" allowOverlap="1" wp14:anchorId="4AC3B35D" wp14:editId="50C4C65C">
              <wp:simplePos x="0" y="0"/>
              <wp:positionH relativeFrom="page">
                <wp:posOffset>6335841</wp:posOffset>
              </wp:positionH>
              <wp:positionV relativeFrom="paragraph">
                <wp:posOffset>593299</wp:posOffset>
              </wp:positionV>
              <wp:extent cx="732380" cy="369332"/>
              <wp:effectExtent l="0" t="0" r="0" b="0"/>
              <wp:wrapNone/>
              <wp:docPr id="14" name="CuadroTexto 8"/>
              <wp:cNvGraphicFramePr/>
              <a:graphic xmlns:a="http://schemas.openxmlformats.org/drawingml/2006/main">
                <a:graphicData uri="http://schemas.microsoft.com/office/word/2010/wordprocessingShape">
                  <wps:wsp>
                    <wps:cNvSpPr txBox="1"/>
                    <wps:spPr>
                      <a:xfrm>
                        <a:off x="0" y="0"/>
                        <a:ext cx="732380" cy="369332"/>
                      </a:xfrm>
                      <a:prstGeom prst="rect">
                        <a:avLst/>
                      </a:prstGeom>
                      <a:noFill/>
                    </wps:spPr>
                    <wps:txbx>
                      <w:txbxContent>
                        <w:p w:rsidR="0067111A" w:rsidRPr="0067111A" w:rsidRDefault="00A474A3" w:rsidP="0067111A">
                          <w:pPr>
                            <w:pStyle w:val="NormalWeb"/>
                            <w:spacing w:before="0" w:beforeAutospacing="0" w:after="0" w:afterAutospacing="0"/>
                            <w:rPr>
                              <w:sz w:val="16"/>
                            </w:rPr>
                          </w:pPr>
                          <w:r>
                            <w:rPr>
                              <w:rFonts w:ascii="ITCModernNo.216W01-BdIt" w:hAnsi="ITCModernNo.216W01-BdIt" w:cstheme="minorBidi"/>
                              <w:color w:val="FFFFFF" w:themeColor="background1"/>
                              <w:kern w:val="24"/>
                              <w:sz w:val="28"/>
                              <w:szCs w:val="36"/>
                            </w:rPr>
                            <w:t>Octubr</w:t>
                          </w:r>
                          <w:r w:rsidR="00C2102B">
                            <w:rPr>
                              <w:rFonts w:ascii="ITCModernNo.216W01-BdIt" w:hAnsi="ITCModernNo.216W01-BdIt" w:cstheme="minorBidi"/>
                              <w:color w:val="FFFFFF" w:themeColor="background1"/>
                              <w:kern w:val="24"/>
                              <w:sz w:val="28"/>
                              <w:szCs w:val="36"/>
                            </w:rPr>
                            <w:t>e</w:t>
                          </w:r>
                        </w:p>
                      </w:txbxContent>
                    </wps:txbx>
                    <wps:bodyPr wrap="none" rtlCol="0">
                      <a:spAutoFit/>
                    </wps:bodyPr>
                  </wps:wsp>
                </a:graphicData>
              </a:graphic>
            </wp:anchor>
          </w:drawing>
        </mc:Choice>
        <mc:Fallback>
          <w:pict>
            <v:shapetype w14:anchorId="4AC3B35D" id="_x0000_t202" coordsize="21600,21600" o:spt="202" path="m,l,21600r21600,l21600,xe">
              <v:stroke joinstyle="miter"/>
              <v:path gradientshapeok="t" o:connecttype="rect"/>
            </v:shapetype>
            <v:shape id="CuadroTexto 8" o:spid="_x0000_s1027" type="#_x0000_t202" style="position:absolute;left:0;text-align:left;margin-left:498.9pt;margin-top:46.7pt;width:57.65pt;height:29.1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qTmAEAABYDAAAOAAAAZHJzL2Uyb0RvYy54bWysUk1v2zAMvQ/YfxB0X5zGQ5cZcYqtRXcZ&#10;tgFtf4AiS7EASxRIJXb+/Sg5SYftNvSiD5J6eu+Rm7vJD+JokByEVt4sllKYoKFzYd/Kl+fHD2sp&#10;KKnQqQGCaeXJkLzbvn+3GWNjVtDD0BkUDBKoGWMr+5RiU1Wke+MVLSCawEkL6FXiK+6rDtXI6H6o&#10;VsvlbTUCdhFBGyKOPsxJuS341hqdflpLJomhlcwtlRXLustrtd2oZo8q9k6faaj/YOGVC/zpFepB&#10;JSUO6P6B8k4jENi00OArsNZpUzSwmpvlX2qeehVN0cLmULzaRG8Hq38cf6FwHffuoxRBee7R/UF1&#10;CM9mSiDW2aExUsOFT5FL0/QVJq6+xImDWfhk0eedJQnOs9enq7+MJDQHP9Wres0Zzan69nNdrzJK&#10;9fo4IqVvBrzIh1Yit6+4qo7fKc2ll5L8V4BHNww5nhnOTPIpTbtp1nRhuYPuxORHbnQrA0+iFJiG&#10;eyhTkaEofjkkhiu/ZIz5xRmazS88z4OSu/vnvVS9jvP2NwAAAP//AwBQSwMEFAAGAAgAAAAhAHI3&#10;hX3eAAAACwEAAA8AAABkcnMvZG93bnJldi54bWxMj81OwzAQhO9IvIO1SNyo4/7RhDgVKnCmlD6A&#10;m2zjkHgdxW4beHq2J7jNakYz3+br0XXijENoPGlQkwQEUumrhmoN+8+3hxWIEA1VpvOEGr4xwLq4&#10;vclNVvkLfeB5F2vBJRQyo8HG2GdShtKiM2HieyT2jn5wJvI51LIazIXLXSenSbKUzjTEC9b0uLFY&#10;truT07BK3HvbptNtcPMftbCbF//af2l9fzc+P4GIOMa/MFzxGR0KZjr4E1VBdBrS9JHRI4vZHMQ1&#10;oNRMgTiwWqglyCKX/38ofgEAAP//AwBQSwECLQAUAAYACAAAACEAtoM4kv4AAADhAQAAEwAAAAAA&#10;AAAAAAAAAAAAAAAAW0NvbnRlbnRfVHlwZXNdLnhtbFBLAQItABQABgAIAAAAIQA4/SH/1gAAAJQB&#10;AAALAAAAAAAAAAAAAAAAAC8BAABfcmVscy8ucmVsc1BLAQItABQABgAIAAAAIQCJitqTmAEAABYD&#10;AAAOAAAAAAAAAAAAAAAAAC4CAABkcnMvZTJvRG9jLnhtbFBLAQItABQABgAIAAAAIQByN4V93gAA&#10;AAsBAAAPAAAAAAAAAAAAAAAAAPIDAABkcnMvZG93bnJldi54bWxQSwUGAAAAAAQABADzAAAA/QQA&#10;AAAA&#10;" filled="f" stroked="f">
              <v:textbox style="mso-fit-shape-to-text:t">
                <w:txbxContent>
                  <w:p w:rsidR="0067111A" w:rsidRPr="0067111A" w:rsidRDefault="00A474A3" w:rsidP="0067111A">
                    <w:pPr>
                      <w:pStyle w:val="NormalWeb"/>
                      <w:spacing w:before="0" w:beforeAutospacing="0" w:after="0" w:afterAutospacing="0"/>
                      <w:rPr>
                        <w:sz w:val="16"/>
                      </w:rPr>
                    </w:pPr>
                    <w:r>
                      <w:rPr>
                        <w:rFonts w:ascii="ITCModernNo.216W01-BdIt" w:hAnsi="ITCModernNo.216W01-BdIt" w:cstheme="minorBidi"/>
                        <w:color w:val="FFFFFF" w:themeColor="background1"/>
                        <w:kern w:val="24"/>
                        <w:sz w:val="28"/>
                        <w:szCs w:val="36"/>
                      </w:rPr>
                      <w:t>Octubr</w:t>
                    </w:r>
                    <w:r w:rsidR="00C2102B">
                      <w:rPr>
                        <w:rFonts w:ascii="ITCModernNo.216W01-BdIt" w:hAnsi="ITCModernNo.216W01-BdIt" w:cstheme="minorBidi"/>
                        <w:color w:val="FFFFFF" w:themeColor="background1"/>
                        <w:kern w:val="24"/>
                        <w:sz w:val="28"/>
                        <w:szCs w:val="36"/>
                      </w:rPr>
                      <w:t>e</w:t>
                    </w:r>
                  </w:p>
                </w:txbxContent>
              </v:textbox>
              <w10:wrap anchorx="page"/>
            </v:shape>
          </w:pict>
        </mc:Fallback>
      </mc:AlternateContent>
    </w:r>
    <w:r w:rsidRPr="0067111A">
      <w:rPr>
        <w:noProof/>
      </w:rPr>
      <mc:AlternateContent>
        <mc:Choice Requires="wps">
          <w:drawing>
            <wp:anchor distT="0" distB="0" distL="114300" distR="114300" simplePos="0" relativeHeight="251675648" behindDoc="0" locked="0" layoutInCell="1" allowOverlap="1" wp14:anchorId="5A81A9C9" wp14:editId="3B5B6A13">
              <wp:simplePos x="0" y="0"/>
              <wp:positionH relativeFrom="page">
                <wp:posOffset>6367780</wp:posOffset>
              </wp:positionH>
              <wp:positionV relativeFrom="paragraph">
                <wp:posOffset>95250</wp:posOffset>
              </wp:positionV>
              <wp:extent cx="840105" cy="368935"/>
              <wp:effectExtent l="0" t="0" r="0" b="0"/>
              <wp:wrapNone/>
              <wp:docPr id="15" name="CuadroTexto 7"/>
              <wp:cNvGraphicFramePr/>
              <a:graphic xmlns:a="http://schemas.openxmlformats.org/drawingml/2006/main">
                <a:graphicData uri="http://schemas.microsoft.com/office/word/2010/wordprocessingShape">
                  <wps:wsp>
                    <wps:cNvSpPr txBox="1"/>
                    <wps:spPr>
                      <a:xfrm>
                        <a:off x="0" y="0"/>
                        <a:ext cx="840105" cy="368935"/>
                      </a:xfrm>
                      <a:prstGeom prst="rect">
                        <a:avLst/>
                      </a:prstGeom>
                      <a:noFill/>
                    </wps:spPr>
                    <wps:txbx>
                      <w:txbxContent>
                        <w:p w:rsidR="0067111A" w:rsidRPr="0067111A" w:rsidRDefault="0067111A" w:rsidP="0067111A">
                          <w:pPr>
                            <w:pStyle w:val="NormalWeb"/>
                            <w:spacing w:before="0" w:beforeAutospacing="0" w:after="0" w:afterAutospacing="0"/>
                            <w:rPr>
                              <w:sz w:val="12"/>
                            </w:rPr>
                          </w:pPr>
                          <w:r w:rsidRPr="0067111A">
                            <w:rPr>
                              <w:rFonts w:ascii="ITCModernNo.216W01-BdIt" w:hAnsi="ITCModernNo.216W01-BdIt" w:cstheme="minorBidi"/>
                              <w:color w:val="FFFFFF" w:themeColor="background1"/>
                              <w:kern w:val="24"/>
                              <w:szCs w:val="36"/>
                            </w:rPr>
                            <w:t>2018</w:t>
                          </w:r>
                          <w:r w:rsidR="00277D41">
                            <w:rPr>
                              <w:rFonts w:ascii="ITCModernNo.216W01-BdIt" w:hAnsi="ITCModernNo.216W01-BdIt" w:cstheme="minorBidi"/>
                              <w:color w:val="FFFFFF" w:themeColor="background1"/>
                              <w:kern w:val="24"/>
                              <w:szCs w:val="36"/>
                            </w:rPr>
                            <w:t>-</w:t>
                          </w:r>
                          <w:r w:rsidR="00C2102B">
                            <w:rPr>
                              <w:rFonts w:ascii="ITCModernNo.216W01-BdIt" w:hAnsi="ITCModernNo.216W01-BdIt" w:cstheme="minorBidi"/>
                              <w:color w:val="FFFFFF" w:themeColor="background1"/>
                              <w:kern w:val="24"/>
                              <w:szCs w:val="36"/>
                            </w:rPr>
                            <w:t>26</w:t>
                          </w:r>
                        </w:p>
                      </w:txbxContent>
                    </wps:txbx>
                    <wps:bodyPr wrap="none" rtlCol="0">
                      <a:spAutoFit/>
                    </wps:bodyPr>
                  </wps:wsp>
                </a:graphicData>
              </a:graphic>
            </wp:anchor>
          </w:drawing>
        </mc:Choice>
        <mc:Fallback>
          <w:pict>
            <v:shape w14:anchorId="5A81A9C9" id="CuadroTexto 7" o:spid="_x0000_s1028" type="#_x0000_t202" style="position:absolute;left:0;text-align:left;margin-left:501.4pt;margin-top:7.5pt;width:66.15pt;height:29.05pt;z-index:2516756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HmAEAABYDAAAOAAAAZHJzL2Uyb0RvYy54bWysUk1PGzEQvSPxHyzfyYZQIKyyQRRELxVU&#10;An6A47WzltYea8bJbv59x84HVXuruHjXM+M3772Zxf3oe7E1SA5CIy8nUylM0NC6sG7kx/vzxVwK&#10;Siq0qodgGrkzJO+X52eLIdZmBh30rUHBIIHqITaySynWVUW6M17RBKIJnLSAXiW+4rpqUQ2M7vtq&#10;Np3eVANgGxG0IeLo0z4plwXfWqPTq7VkkugbydxSObGcq3xWy4Wq16hi5/SBhvoPFl65wE1PUE8q&#10;KbFB9w+UdxqBwKaJBl+BtU6booHVXE7/UvPWqWiKFjaH4skm+jpY/bL9hcK1PLtrKYLyPKPHjWoR&#10;3s2YQNxmh4ZINRe+RS5N43cYufoYJw5m4aNFn78sSXCevd6d/GUkoTk4/8YauY3m1NXN/O7qOqNU&#10;n48jUvphwIv800jk8RVX1fYnpX3psST3CvDs+j7HM8M9k/yXxtVYNM2OLFfQ7pj8wINuZOBNlAJT&#10;/whlKzIUxYdNYrjSJWPsXxyg2fzC87Aoebp/3kvV5zovfwMAAP//AwBQSwMEFAAGAAgAAAAhABmj&#10;gw/dAAAACwEAAA8AAABkcnMvZG93bnJldi54bWxMj8FOwzAQRO9I/IO1SNyo7ZRACXEqVOAMFD7A&#10;jZckJF5HsdsGvp7tCW472tHMm3I9+0EccIpdIAN6oUAg1cF11Bj4eH++WoGIyZKzQyA08I0R1tX5&#10;WWkLF470hodtagSHUCysgTalsZAy1i16GxdhROLfZ5i8TSynRrrJHjncDzJT6kZ62xE3tHbETYt1&#10;v917AyvlX/r+LnuN/vpH5+3mMTyNX8ZcXswP9yASzunPDCd8RoeKmXZhTy6KgbVSGbMnvnIedXLo&#10;Za5B7AzcLjXIqpT/N1S/AAAA//8DAFBLAQItABQABgAIAAAAIQC2gziS/gAAAOEBAAATAAAAAAAA&#10;AAAAAAAAAAAAAABbQ29udGVudF9UeXBlc10ueG1sUEsBAi0AFAAGAAgAAAAhADj9If/WAAAAlAEA&#10;AAsAAAAAAAAAAAAAAAAALwEAAF9yZWxzLy5yZWxzUEsBAi0AFAAGAAgAAAAhAGdHlIeYAQAAFgMA&#10;AA4AAAAAAAAAAAAAAAAALgIAAGRycy9lMm9Eb2MueG1sUEsBAi0AFAAGAAgAAAAhABmjgw/dAAAA&#10;CwEAAA8AAAAAAAAAAAAAAAAA8gMAAGRycy9kb3ducmV2LnhtbFBLBQYAAAAABAAEAPMAAAD8BAAA&#10;AAA=&#10;" filled="f" stroked="f">
              <v:textbox style="mso-fit-shape-to-text:t">
                <w:txbxContent>
                  <w:p w:rsidR="0067111A" w:rsidRPr="0067111A" w:rsidRDefault="0067111A" w:rsidP="0067111A">
                    <w:pPr>
                      <w:pStyle w:val="NormalWeb"/>
                      <w:spacing w:before="0" w:beforeAutospacing="0" w:after="0" w:afterAutospacing="0"/>
                      <w:rPr>
                        <w:sz w:val="12"/>
                      </w:rPr>
                    </w:pPr>
                    <w:r w:rsidRPr="0067111A">
                      <w:rPr>
                        <w:rFonts w:ascii="ITCModernNo.216W01-BdIt" w:hAnsi="ITCModernNo.216W01-BdIt" w:cstheme="minorBidi"/>
                        <w:color w:val="FFFFFF" w:themeColor="background1"/>
                        <w:kern w:val="24"/>
                        <w:szCs w:val="36"/>
                      </w:rPr>
                      <w:t>2018</w:t>
                    </w:r>
                    <w:r w:rsidR="00277D41">
                      <w:rPr>
                        <w:rFonts w:ascii="ITCModernNo.216W01-BdIt" w:hAnsi="ITCModernNo.216W01-BdIt" w:cstheme="minorBidi"/>
                        <w:color w:val="FFFFFF" w:themeColor="background1"/>
                        <w:kern w:val="24"/>
                        <w:szCs w:val="36"/>
                      </w:rPr>
                      <w:t>-</w:t>
                    </w:r>
                    <w:r w:rsidR="00C2102B">
                      <w:rPr>
                        <w:rFonts w:ascii="ITCModernNo.216W01-BdIt" w:hAnsi="ITCModernNo.216W01-BdIt" w:cstheme="minorBidi"/>
                        <w:color w:val="FFFFFF" w:themeColor="background1"/>
                        <w:kern w:val="24"/>
                        <w:szCs w:val="36"/>
                      </w:rPr>
                      <w:t>26</w:t>
                    </w:r>
                  </w:p>
                </w:txbxContent>
              </v:textbox>
              <w10:wrap anchorx="page"/>
            </v:shape>
          </w:pict>
        </mc:Fallback>
      </mc:AlternateContent>
    </w:r>
    <w:r w:rsidRPr="00E049F2">
      <w:rPr>
        <w:noProof/>
      </w:rPr>
      <w:drawing>
        <wp:anchor distT="0" distB="0" distL="114300" distR="114300" simplePos="0" relativeHeight="251669504" behindDoc="0" locked="0" layoutInCell="1" allowOverlap="1">
          <wp:simplePos x="0" y="0"/>
          <wp:positionH relativeFrom="margin">
            <wp:posOffset>-742315</wp:posOffset>
          </wp:positionH>
          <wp:positionV relativeFrom="paragraph">
            <wp:posOffset>98425</wp:posOffset>
          </wp:positionV>
          <wp:extent cx="1371600" cy="37592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75920"/>
                  </a:xfrm>
                  <a:prstGeom prst="rect">
                    <a:avLst/>
                  </a:prstGeom>
                </pic:spPr>
              </pic:pic>
            </a:graphicData>
          </a:graphic>
          <wp14:sizeRelH relativeFrom="page">
            <wp14:pctWidth>0</wp14:pctWidth>
          </wp14:sizeRelH>
          <wp14:sizeRelV relativeFrom="page">
            <wp14:pctHeight>0</wp14:pctHeight>
          </wp14:sizeRelV>
        </wp:anchor>
      </w:drawing>
    </w:r>
    <w:r w:rsidRPr="002D6AD5">
      <w:rPr>
        <w:noProof/>
      </w:rPr>
      <w:drawing>
        <wp:anchor distT="0" distB="0" distL="114300" distR="114300" simplePos="0" relativeHeight="251676672" behindDoc="1" locked="0" layoutInCell="1" allowOverlap="1" wp14:anchorId="3BBD098D">
          <wp:simplePos x="0" y="0"/>
          <wp:positionH relativeFrom="page">
            <wp:align>left</wp:align>
          </wp:positionH>
          <wp:positionV relativeFrom="paragraph">
            <wp:posOffset>0</wp:posOffset>
          </wp:positionV>
          <wp:extent cx="7806690" cy="891540"/>
          <wp:effectExtent l="0" t="0" r="3810" b="381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690" cy="891540"/>
                  </a:xfrm>
                  <a:prstGeom prst="rect">
                    <a:avLst/>
                  </a:prstGeom>
                </pic:spPr>
              </pic:pic>
            </a:graphicData>
          </a:graphic>
          <wp14:sizeRelH relativeFrom="page">
            <wp14:pctWidth>0</wp14:pctWidth>
          </wp14:sizeRelH>
          <wp14:sizeRelV relativeFrom="page">
            <wp14:pctHeight>0</wp14:pctHeight>
          </wp14:sizeRelV>
        </wp:anchor>
      </w:drawing>
    </w:r>
    <w:r w:rsidR="004D41F4" w:rsidRPr="002D6AD5">
      <w:rPr>
        <w:noProof/>
      </w:rPr>
      <w:drawing>
        <wp:anchor distT="0" distB="0" distL="114300" distR="114300" simplePos="0" relativeHeight="251664384" behindDoc="0" locked="0" layoutInCell="1" allowOverlap="1" wp14:anchorId="73FBCA1D" wp14:editId="1D85A1CA">
          <wp:simplePos x="0" y="0"/>
          <wp:positionH relativeFrom="page">
            <wp:posOffset>1870710</wp:posOffset>
          </wp:positionH>
          <wp:positionV relativeFrom="paragraph">
            <wp:posOffset>-87630</wp:posOffset>
          </wp:positionV>
          <wp:extent cx="3964940" cy="99187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3" cstate="print">
                    <a:extLst>
                      <a:ext uri="{28A0092B-C50C-407E-A947-70E740481C1C}">
                        <a14:useLocalDpi xmlns:a14="http://schemas.microsoft.com/office/drawing/2010/main" val="0"/>
                      </a:ext>
                    </a:extLst>
                  </a:blip>
                  <a:srcRect b="13159"/>
                  <a:stretch/>
                </pic:blipFill>
                <pic:spPr bwMode="auto">
                  <a:xfrm>
                    <a:off x="0" y="0"/>
                    <a:ext cx="3964940" cy="99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52"/>
    <w:multiLevelType w:val="hybridMultilevel"/>
    <w:tmpl w:val="BC92C334"/>
    <w:lvl w:ilvl="0" w:tplc="9556A8F4">
      <w:start w:val="20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62CDC"/>
    <w:multiLevelType w:val="hybridMultilevel"/>
    <w:tmpl w:val="7E0880A2"/>
    <w:lvl w:ilvl="0" w:tplc="062E7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F0C39"/>
    <w:multiLevelType w:val="hybridMultilevel"/>
    <w:tmpl w:val="CB68E608"/>
    <w:lvl w:ilvl="0" w:tplc="16CA8F6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118713F2"/>
    <w:multiLevelType w:val="hybridMultilevel"/>
    <w:tmpl w:val="C7DA9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C6E0B"/>
    <w:multiLevelType w:val="hybridMultilevel"/>
    <w:tmpl w:val="D2603410"/>
    <w:lvl w:ilvl="0" w:tplc="CFF814F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24F8739F"/>
    <w:multiLevelType w:val="hybridMultilevel"/>
    <w:tmpl w:val="0C487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9C633B"/>
    <w:multiLevelType w:val="hybridMultilevel"/>
    <w:tmpl w:val="2598871C"/>
    <w:lvl w:ilvl="0" w:tplc="24C6156C">
      <w:start w:val="1"/>
      <w:numFmt w:val="bullet"/>
      <w:lvlText w:val=""/>
      <w:lvlJc w:val="left"/>
      <w:pPr>
        <w:ind w:left="2421" w:hanging="360"/>
      </w:pPr>
      <w:rPr>
        <w:rFonts w:ascii="Symbol" w:hAnsi="Symbol" w:hint="default"/>
        <w:b w:val="0"/>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7" w15:restartNumberingAfterBreak="0">
    <w:nsid w:val="2815640C"/>
    <w:multiLevelType w:val="hybridMultilevel"/>
    <w:tmpl w:val="8A882958"/>
    <w:lvl w:ilvl="0" w:tplc="33F4A9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F77107"/>
    <w:multiLevelType w:val="hybridMultilevel"/>
    <w:tmpl w:val="D58C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CC40ED"/>
    <w:multiLevelType w:val="hybridMultilevel"/>
    <w:tmpl w:val="0526E5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9F1BD2"/>
    <w:multiLevelType w:val="hybridMultilevel"/>
    <w:tmpl w:val="34561676"/>
    <w:lvl w:ilvl="0" w:tplc="AA9EE1F8">
      <w:numFmt w:val="bullet"/>
      <w:lvlText w:val="-"/>
      <w:lvlJc w:val="left"/>
      <w:pPr>
        <w:ind w:left="1778" w:hanging="360"/>
      </w:pPr>
      <w:rPr>
        <w:rFonts w:ascii="Arial" w:eastAsiaTheme="minorHAnsi" w:hAnsi="Arial" w:cs="Arial"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1" w15:restartNumberingAfterBreak="0">
    <w:nsid w:val="483275D2"/>
    <w:multiLevelType w:val="hybridMultilevel"/>
    <w:tmpl w:val="FB848B02"/>
    <w:lvl w:ilvl="0" w:tplc="84EA7B92">
      <w:start w:val="3"/>
      <w:numFmt w:val="bullet"/>
      <w:lvlText w:val="-"/>
      <w:lvlJc w:val="left"/>
      <w:pPr>
        <w:ind w:left="2061" w:hanging="360"/>
      </w:pPr>
      <w:rPr>
        <w:rFonts w:ascii="Arial" w:eastAsiaTheme="minorHAnsi" w:hAnsi="Arial" w:cs="Aria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12" w15:restartNumberingAfterBreak="0">
    <w:nsid w:val="4AE628A2"/>
    <w:multiLevelType w:val="hybridMultilevel"/>
    <w:tmpl w:val="EDEAE730"/>
    <w:lvl w:ilvl="0" w:tplc="2C16BC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63921"/>
    <w:multiLevelType w:val="hybridMultilevel"/>
    <w:tmpl w:val="7DCEA4DE"/>
    <w:lvl w:ilvl="0" w:tplc="5F747A5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4" w15:restartNumberingAfterBreak="0">
    <w:nsid w:val="570E0336"/>
    <w:multiLevelType w:val="hybridMultilevel"/>
    <w:tmpl w:val="2B98B4F0"/>
    <w:lvl w:ilvl="0" w:tplc="B1DE322C">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5" w15:restartNumberingAfterBreak="0">
    <w:nsid w:val="59A13808"/>
    <w:multiLevelType w:val="hybridMultilevel"/>
    <w:tmpl w:val="989AC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6A2636"/>
    <w:multiLevelType w:val="hybridMultilevel"/>
    <w:tmpl w:val="91304CD0"/>
    <w:lvl w:ilvl="0" w:tplc="2B18B016">
      <w:numFmt w:val="bullet"/>
      <w:lvlText w:val="•"/>
      <w:lvlJc w:val="left"/>
      <w:pPr>
        <w:ind w:left="1778" w:hanging="360"/>
      </w:pPr>
      <w:rPr>
        <w:rFonts w:ascii="Arial" w:eastAsiaTheme="minorHAnsi" w:hAnsi="Arial" w:cs="Arial"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15:restartNumberingAfterBreak="0">
    <w:nsid w:val="64D46A71"/>
    <w:multiLevelType w:val="hybridMultilevel"/>
    <w:tmpl w:val="18B8C59C"/>
    <w:lvl w:ilvl="0" w:tplc="5F747A5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8" w15:restartNumberingAfterBreak="0">
    <w:nsid w:val="687C3248"/>
    <w:multiLevelType w:val="hybridMultilevel"/>
    <w:tmpl w:val="6DBA0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063834"/>
    <w:multiLevelType w:val="hybridMultilevel"/>
    <w:tmpl w:val="36B40FE6"/>
    <w:lvl w:ilvl="0" w:tplc="75A81EF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0" w15:restartNumberingAfterBreak="0">
    <w:nsid w:val="75E05A70"/>
    <w:multiLevelType w:val="hybridMultilevel"/>
    <w:tmpl w:val="0958C432"/>
    <w:lvl w:ilvl="0" w:tplc="080A0013">
      <w:start w:val="1"/>
      <w:numFmt w:val="upp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1" w15:restartNumberingAfterBreak="0">
    <w:nsid w:val="763059CC"/>
    <w:multiLevelType w:val="hybridMultilevel"/>
    <w:tmpl w:val="705CEA82"/>
    <w:lvl w:ilvl="0" w:tplc="AD96CC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5"/>
  </w:num>
  <w:num w:numId="5">
    <w:abstractNumId w:val="7"/>
  </w:num>
  <w:num w:numId="6">
    <w:abstractNumId w:val="18"/>
  </w:num>
  <w:num w:numId="7">
    <w:abstractNumId w:val="9"/>
  </w:num>
  <w:num w:numId="8">
    <w:abstractNumId w:val="19"/>
  </w:num>
  <w:num w:numId="9">
    <w:abstractNumId w:val="13"/>
  </w:num>
  <w:num w:numId="10">
    <w:abstractNumId w:val="17"/>
  </w:num>
  <w:num w:numId="11">
    <w:abstractNumId w:val="6"/>
  </w:num>
  <w:num w:numId="12">
    <w:abstractNumId w:val="14"/>
  </w:num>
  <w:num w:numId="13">
    <w:abstractNumId w:val="4"/>
  </w:num>
  <w:num w:numId="14">
    <w:abstractNumId w:val="16"/>
  </w:num>
  <w:num w:numId="15">
    <w:abstractNumId w:val="10"/>
  </w:num>
  <w:num w:numId="16">
    <w:abstractNumId w:val="2"/>
  </w:num>
  <w:num w:numId="17">
    <w:abstractNumId w:val="3"/>
  </w:num>
  <w:num w:numId="18">
    <w:abstractNumId w:val="0"/>
  </w:num>
  <w:num w:numId="19">
    <w:abstractNumId w:val="12"/>
  </w:num>
  <w:num w:numId="20">
    <w:abstractNumId w:val="2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D5"/>
    <w:rsid w:val="000019D2"/>
    <w:rsid w:val="00034A8C"/>
    <w:rsid w:val="00034F95"/>
    <w:rsid w:val="00050CAC"/>
    <w:rsid w:val="00053E11"/>
    <w:rsid w:val="00084785"/>
    <w:rsid w:val="0008494B"/>
    <w:rsid w:val="000937C2"/>
    <w:rsid w:val="00097928"/>
    <w:rsid w:val="000C70EB"/>
    <w:rsid w:val="000C737E"/>
    <w:rsid w:val="000E12F5"/>
    <w:rsid w:val="000F1D33"/>
    <w:rsid w:val="00112CD8"/>
    <w:rsid w:val="00112CEC"/>
    <w:rsid w:val="00123F93"/>
    <w:rsid w:val="001256BC"/>
    <w:rsid w:val="00134000"/>
    <w:rsid w:val="0014129D"/>
    <w:rsid w:val="001434FA"/>
    <w:rsid w:val="00154694"/>
    <w:rsid w:val="00170540"/>
    <w:rsid w:val="001737DA"/>
    <w:rsid w:val="00177B8F"/>
    <w:rsid w:val="001C4FDC"/>
    <w:rsid w:val="001D2D42"/>
    <w:rsid w:val="001D642F"/>
    <w:rsid w:val="001E12A4"/>
    <w:rsid w:val="001E3715"/>
    <w:rsid w:val="001F7D4C"/>
    <w:rsid w:val="00205D46"/>
    <w:rsid w:val="00224DF2"/>
    <w:rsid w:val="00225BAB"/>
    <w:rsid w:val="002547FA"/>
    <w:rsid w:val="0025502F"/>
    <w:rsid w:val="002617E4"/>
    <w:rsid w:val="002644F1"/>
    <w:rsid w:val="00277D41"/>
    <w:rsid w:val="00296EDF"/>
    <w:rsid w:val="002A0E46"/>
    <w:rsid w:val="002A467E"/>
    <w:rsid w:val="002A51A2"/>
    <w:rsid w:val="002A6D44"/>
    <w:rsid w:val="002D4B49"/>
    <w:rsid w:val="002D6854"/>
    <w:rsid w:val="002D6AD5"/>
    <w:rsid w:val="002E42AD"/>
    <w:rsid w:val="002F2D37"/>
    <w:rsid w:val="00301E54"/>
    <w:rsid w:val="003046E2"/>
    <w:rsid w:val="00307D6F"/>
    <w:rsid w:val="00324A85"/>
    <w:rsid w:val="00336845"/>
    <w:rsid w:val="003425FB"/>
    <w:rsid w:val="0035687C"/>
    <w:rsid w:val="00361D98"/>
    <w:rsid w:val="003624A1"/>
    <w:rsid w:val="00366B72"/>
    <w:rsid w:val="003809C7"/>
    <w:rsid w:val="003853E0"/>
    <w:rsid w:val="003A0003"/>
    <w:rsid w:val="003B09F0"/>
    <w:rsid w:val="003C5171"/>
    <w:rsid w:val="003D5BEF"/>
    <w:rsid w:val="003D6262"/>
    <w:rsid w:val="003D6829"/>
    <w:rsid w:val="003D70D8"/>
    <w:rsid w:val="003E1472"/>
    <w:rsid w:val="003F0522"/>
    <w:rsid w:val="004123D5"/>
    <w:rsid w:val="00412DEB"/>
    <w:rsid w:val="00421CBC"/>
    <w:rsid w:val="00430753"/>
    <w:rsid w:val="00434C8C"/>
    <w:rsid w:val="00455984"/>
    <w:rsid w:val="004635F0"/>
    <w:rsid w:val="004726BE"/>
    <w:rsid w:val="0047296A"/>
    <w:rsid w:val="00481879"/>
    <w:rsid w:val="004837EA"/>
    <w:rsid w:val="0049521F"/>
    <w:rsid w:val="004A756C"/>
    <w:rsid w:val="004B08F4"/>
    <w:rsid w:val="004B091F"/>
    <w:rsid w:val="004B2332"/>
    <w:rsid w:val="004C1E4D"/>
    <w:rsid w:val="004C5094"/>
    <w:rsid w:val="004C7CFA"/>
    <w:rsid w:val="004D41F4"/>
    <w:rsid w:val="004D76EA"/>
    <w:rsid w:val="004E733F"/>
    <w:rsid w:val="004F0DFE"/>
    <w:rsid w:val="00505D54"/>
    <w:rsid w:val="00511AA0"/>
    <w:rsid w:val="00522DD7"/>
    <w:rsid w:val="00527313"/>
    <w:rsid w:val="00533512"/>
    <w:rsid w:val="005519E1"/>
    <w:rsid w:val="00551FC7"/>
    <w:rsid w:val="00561046"/>
    <w:rsid w:val="005652E9"/>
    <w:rsid w:val="00572935"/>
    <w:rsid w:val="00574163"/>
    <w:rsid w:val="005805F2"/>
    <w:rsid w:val="0058585B"/>
    <w:rsid w:val="005B48E6"/>
    <w:rsid w:val="005B6C67"/>
    <w:rsid w:val="005C5EF3"/>
    <w:rsid w:val="005D2235"/>
    <w:rsid w:val="005F512C"/>
    <w:rsid w:val="005F554F"/>
    <w:rsid w:val="00604A1A"/>
    <w:rsid w:val="006068DD"/>
    <w:rsid w:val="00615FE9"/>
    <w:rsid w:val="006170DB"/>
    <w:rsid w:val="006211F2"/>
    <w:rsid w:val="00627348"/>
    <w:rsid w:val="00631E72"/>
    <w:rsid w:val="00644475"/>
    <w:rsid w:val="00647F12"/>
    <w:rsid w:val="00650459"/>
    <w:rsid w:val="00650B75"/>
    <w:rsid w:val="00664032"/>
    <w:rsid w:val="00667F3C"/>
    <w:rsid w:val="00670A2F"/>
    <w:rsid w:val="0067111A"/>
    <w:rsid w:val="00682D57"/>
    <w:rsid w:val="00686B89"/>
    <w:rsid w:val="00691401"/>
    <w:rsid w:val="006957E5"/>
    <w:rsid w:val="00695D6A"/>
    <w:rsid w:val="006A51B3"/>
    <w:rsid w:val="006A67D8"/>
    <w:rsid w:val="006A77D5"/>
    <w:rsid w:val="006C5836"/>
    <w:rsid w:val="006C6A5B"/>
    <w:rsid w:val="006E0A47"/>
    <w:rsid w:val="006E6A25"/>
    <w:rsid w:val="00704096"/>
    <w:rsid w:val="0071255C"/>
    <w:rsid w:val="00721649"/>
    <w:rsid w:val="007253F1"/>
    <w:rsid w:val="00741E5F"/>
    <w:rsid w:val="00742311"/>
    <w:rsid w:val="00747683"/>
    <w:rsid w:val="007628D8"/>
    <w:rsid w:val="00764B41"/>
    <w:rsid w:val="00767343"/>
    <w:rsid w:val="007721AF"/>
    <w:rsid w:val="0079036A"/>
    <w:rsid w:val="00790942"/>
    <w:rsid w:val="00796479"/>
    <w:rsid w:val="007A1302"/>
    <w:rsid w:val="007A23C3"/>
    <w:rsid w:val="007E0E11"/>
    <w:rsid w:val="007E4EA5"/>
    <w:rsid w:val="007F07C9"/>
    <w:rsid w:val="007F0EF3"/>
    <w:rsid w:val="008308AF"/>
    <w:rsid w:val="00836959"/>
    <w:rsid w:val="00837D4F"/>
    <w:rsid w:val="008506B6"/>
    <w:rsid w:val="008565B1"/>
    <w:rsid w:val="00856AE3"/>
    <w:rsid w:val="00864035"/>
    <w:rsid w:val="008652C3"/>
    <w:rsid w:val="00873E0E"/>
    <w:rsid w:val="008857A7"/>
    <w:rsid w:val="0089205B"/>
    <w:rsid w:val="008A1084"/>
    <w:rsid w:val="008A7A44"/>
    <w:rsid w:val="008B78A6"/>
    <w:rsid w:val="008C2BC1"/>
    <w:rsid w:val="008C6FD3"/>
    <w:rsid w:val="008D56F7"/>
    <w:rsid w:val="009122E7"/>
    <w:rsid w:val="00916E90"/>
    <w:rsid w:val="00921A37"/>
    <w:rsid w:val="009255EC"/>
    <w:rsid w:val="00925AA0"/>
    <w:rsid w:val="009319EF"/>
    <w:rsid w:val="00946A63"/>
    <w:rsid w:val="00953B4B"/>
    <w:rsid w:val="0095485C"/>
    <w:rsid w:val="0099265F"/>
    <w:rsid w:val="00993E9D"/>
    <w:rsid w:val="00997171"/>
    <w:rsid w:val="009A09CF"/>
    <w:rsid w:val="009A0A80"/>
    <w:rsid w:val="009B6EFE"/>
    <w:rsid w:val="009D1788"/>
    <w:rsid w:val="009D1CE5"/>
    <w:rsid w:val="009D6041"/>
    <w:rsid w:val="009F1AC1"/>
    <w:rsid w:val="00A02772"/>
    <w:rsid w:val="00A157D1"/>
    <w:rsid w:val="00A176E3"/>
    <w:rsid w:val="00A214EC"/>
    <w:rsid w:val="00A23570"/>
    <w:rsid w:val="00A245C5"/>
    <w:rsid w:val="00A468FF"/>
    <w:rsid w:val="00A474A3"/>
    <w:rsid w:val="00A67ACA"/>
    <w:rsid w:val="00A73BE6"/>
    <w:rsid w:val="00A91DB9"/>
    <w:rsid w:val="00AC0133"/>
    <w:rsid w:val="00AC103C"/>
    <w:rsid w:val="00AC4C48"/>
    <w:rsid w:val="00AE0653"/>
    <w:rsid w:val="00AF59A9"/>
    <w:rsid w:val="00B041D2"/>
    <w:rsid w:val="00B04EEB"/>
    <w:rsid w:val="00B270D8"/>
    <w:rsid w:val="00B31E66"/>
    <w:rsid w:val="00B32CB6"/>
    <w:rsid w:val="00B35BBB"/>
    <w:rsid w:val="00B45CDA"/>
    <w:rsid w:val="00B47820"/>
    <w:rsid w:val="00B54009"/>
    <w:rsid w:val="00B63F65"/>
    <w:rsid w:val="00B7315B"/>
    <w:rsid w:val="00B907B4"/>
    <w:rsid w:val="00B9199F"/>
    <w:rsid w:val="00B94A91"/>
    <w:rsid w:val="00BA0ED8"/>
    <w:rsid w:val="00BA1904"/>
    <w:rsid w:val="00BA2ABE"/>
    <w:rsid w:val="00BB3120"/>
    <w:rsid w:val="00BB3CCF"/>
    <w:rsid w:val="00BD34BA"/>
    <w:rsid w:val="00BF47DF"/>
    <w:rsid w:val="00C13CE3"/>
    <w:rsid w:val="00C2102B"/>
    <w:rsid w:val="00C212C6"/>
    <w:rsid w:val="00C21582"/>
    <w:rsid w:val="00C25851"/>
    <w:rsid w:val="00C35B72"/>
    <w:rsid w:val="00C536D0"/>
    <w:rsid w:val="00C53F60"/>
    <w:rsid w:val="00C61954"/>
    <w:rsid w:val="00C64A25"/>
    <w:rsid w:val="00C774AA"/>
    <w:rsid w:val="00C836A3"/>
    <w:rsid w:val="00C90FA0"/>
    <w:rsid w:val="00C97AAE"/>
    <w:rsid w:val="00CA1F39"/>
    <w:rsid w:val="00CC247A"/>
    <w:rsid w:val="00CD1BEE"/>
    <w:rsid w:val="00CD467B"/>
    <w:rsid w:val="00CD46C0"/>
    <w:rsid w:val="00CE2CE6"/>
    <w:rsid w:val="00CE374A"/>
    <w:rsid w:val="00CF2766"/>
    <w:rsid w:val="00CF621C"/>
    <w:rsid w:val="00D00592"/>
    <w:rsid w:val="00D07A17"/>
    <w:rsid w:val="00D10620"/>
    <w:rsid w:val="00D10C61"/>
    <w:rsid w:val="00D12251"/>
    <w:rsid w:val="00D23B52"/>
    <w:rsid w:val="00D23F01"/>
    <w:rsid w:val="00D455E3"/>
    <w:rsid w:val="00D4682A"/>
    <w:rsid w:val="00D81DFF"/>
    <w:rsid w:val="00DB42A9"/>
    <w:rsid w:val="00DC3E98"/>
    <w:rsid w:val="00DC5484"/>
    <w:rsid w:val="00DD0387"/>
    <w:rsid w:val="00DE0925"/>
    <w:rsid w:val="00DE6FFC"/>
    <w:rsid w:val="00DF2493"/>
    <w:rsid w:val="00E049F2"/>
    <w:rsid w:val="00E05020"/>
    <w:rsid w:val="00E22062"/>
    <w:rsid w:val="00E24ED1"/>
    <w:rsid w:val="00E32F8A"/>
    <w:rsid w:val="00E45E43"/>
    <w:rsid w:val="00E5558E"/>
    <w:rsid w:val="00E65AA5"/>
    <w:rsid w:val="00E7591D"/>
    <w:rsid w:val="00E85455"/>
    <w:rsid w:val="00E85574"/>
    <w:rsid w:val="00E86A57"/>
    <w:rsid w:val="00E91649"/>
    <w:rsid w:val="00E955E6"/>
    <w:rsid w:val="00EA0827"/>
    <w:rsid w:val="00EA113B"/>
    <w:rsid w:val="00EA5557"/>
    <w:rsid w:val="00EA5C24"/>
    <w:rsid w:val="00EA5CDA"/>
    <w:rsid w:val="00EB5221"/>
    <w:rsid w:val="00EB5223"/>
    <w:rsid w:val="00EB6FE1"/>
    <w:rsid w:val="00EC5F31"/>
    <w:rsid w:val="00ED5C34"/>
    <w:rsid w:val="00ED72CA"/>
    <w:rsid w:val="00EE0C7F"/>
    <w:rsid w:val="00EF56FF"/>
    <w:rsid w:val="00F049B0"/>
    <w:rsid w:val="00F07A06"/>
    <w:rsid w:val="00F13754"/>
    <w:rsid w:val="00F1401B"/>
    <w:rsid w:val="00F205EA"/>
    <w:rsid w:val="00F22860"/>
    <w:rsid w:val="00F3690F"/>
    <w:rsid w:val="00F65856"/>
    <w:rsid w:val="00F67607"/>
    <w:rsid w:val="00FB0E5E"/>
    <w:rsid w:val="00FB2E7F"/>
    <w:rsid w:val="00FC3422"/>
    <w:rsid w:val="00FC78B2"/>
    <w:rsid w:val="00FE5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F54D"/>
  <w15:chartTrackingRefBased/>
  <w15:docId w15:val="{F2FA306A-4F4B-4BDE-ACC9-BC66668D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84"/>
    <w:pPr>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AD5"/>
  </w:style>
  <w:style w:type="paragraph" w:styleId="Piedepgina">
    <w:name w:val="footer"/>
    <w:basedOn w:val="Normal"/>
    <w:link w:val="PiedepginaCar"/>
    <w:uiPriority w:val="99"/>
    <w:unhideWhenUsed/>
    <w:rsid w:val="002D6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AD5"/>
  </w:style>
  <w:style w:type="paragraph" w:styleId="Prrafodelista">
    <w:name w:val="List Paragraph"/>
    <w:basedOn w:val="Normal"/>
    <w:uiPriority w:val="34"/>
    <w:qFormat/>
    <w:rsid w:val="00AC4C48"/>
    <w:pPr>
      <w:ind w:left="720"/>
      <w:contextualSpacing/>
    </w:pPr>
  </w:style>
  <w:style w:type="paragraph" w:styleId="Textodeglobo">
    <w:name w:val="Balloon Text"/>
    <w:basedOn w:val="Normal"/>
    <w:link w:val="TextodegloboCar"/>
    <w:uiPriority w:val="99"/>
    <w:semiHidden/>
    <w:unhideWhenUsed/>
    <w:rsid w:val="00CD46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67B"/>
    <w:rPr>
      <w:rFonts w:ascii="Segoe UI" w:hAnsi="Segoe UI" w:cs="Segoe UI"/>
      <w:sz w:val="18"/>
      <w:szCs w:val="18"/>
    </w:rPr>
  </w:style>
  <w:style w:type="character" w:styleId="Nmerodepgina">
    <w:name w:val="page number"/>
    <w:basedOn w:val="Fuentedeprrafopredeter"/>
    <w:uiPriority w:val="99"/>
    <w:unhideWhenUsed/>
    <w:rsid w:val="00CD467B"/>
  </w:style>
  <w:style w:type="paragraph" w:styleId="NormalWeb">
    <w:name w:val="Normal (Web)"/>
    <w:basedOn w:val="Normal"/>
    <w:uiPriority w:val="99"/>
    <w:semiHidden/>
    <w:unhideWhenUsed/>
    <w:rsid w:val="0067111A"/>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419">
      <w:bodyDiv w:val="1"/>
      <w:marLeft w:val="0"/>
      <w:marRight w:val="0"/>
      <w:marTop w:val="0"/>
      <w:marBottom w:val="0"/>
      <w:divBdr>
        <w:top w:val="none" w:sz="0" w:space="0" w:color="auto"/>
        <w:left w:val="none" w:sz="0" w:space="0" w:color="auto"/>
        <w:bottom w:val="none" w:sz="0" w:space="0" w:color="auto"/>
        <w:right w:val="none" w:sz="0" w:space="0" w:color="auto"/>
      </w:divBdr>
      <w:divsChild>
        <w:div w:id="1708215634">
          <w:marLeft w:val="0"/>
          <w:marRight w:val="0"/>
          <w:marTop w:val="0"/>
          <w:marBottom w:val="0"/>
          <w:divBdr>
            <w:top w:val="none" w:sz="0" w:space="0" w:color="auto"/>
            <w:left w:val="none" w:sz="0" w:space="0" w:color="auto"/>
            <w:bottom w:val="none" w:sz="0" w:space="0" w:color="auto"/>
            <w:right w:val="none" w:sz="0" w:space="0" w:color="auto"/>
          </w:divBdr>
        </w:div>
        <w:div w:id="1471744539">
          <w:marLeft w:val="0"/>
          <w:marRight w:val="0"/>
          <w:marTop w:val="0"/>
          <w:marBottom w:val="0"/>
          <w:divBdr>
            <w:top w:val="none" w:sz="0" w:space="0" w:color="auto"/>
            <w:left w:val="none" w:sz="0" w:space="0" w:color="auto"/>
            <w:bottom w:val="none" w:sz="0" w:space="0" w:color="auto"/>
            <w:right w:val="none" w:sz="0" w:space="0" w:color="auto"/>
          </w:divBdr>
        </w:div>
        <w:div w:id="780684196">
          <w:marLeft w:val="0"/>
          <w:marRight w:val="0"/>
          <w:marTop w:val="0"/>
          <w:marBottom w:val="0"/>
          <w:divBdr>
            <w:top w:val="none" w:sz="0" w:space="0" w:color="auto"/>
            <w:left w:val="none" w:sz="0" w:space="0" w:color="auto"/>
            <w:bottom w:val="none" w:sz="0" w:space="0" w:color="auto"/>
            <w:right w:val="none" w:sz="0" w:space="0" w:color="auto"/>
          </w:divBdr>
        </w:div>
        <w:div w:id="2121221662">
          <w:marLeft w:val="0"/>
          <w:marRight w:val="0"/>
          <w:marTop w:val="0"/>
          <w:marBottom w:val="0"/>
          <w:divBdr>
            <w:top w:val="none" w:sz="0" w:space="0" w:color="auto"/>
            <w:left w:val="none" w:sz="0" w:space="0" w:color="auto"/>
            <w:bottom w:val="none" w:sz="0" w:space="0" w:color="auto"/>
            <w:right w:val="none" w:sz="0" w:space="0" w:color="auto"/>
          </w:divBdr>
        </w:div>
        <w:div w:id="55012500">
          <w:marLeft w:val="0"/>
          <w:marRight w:val="0"/>
          <w:marTop w:val="0"/>
          <w:marBottom w:val="0"/>
          <w:divBdr>
            <w:top w:val="none" w:sz="0" w:space="0" w:color="auto"/>
            <w:left w:val="none" w:sz="0" w:space="0" w:color="auto"/>
            <w:bottom w:val="none" w:sz="0" w:space="0" w:color="auto"/>
            <w:right w:val="none" w:sz="0" w:space="0" w:color="auto"/>
          </w:divBdr>
        </w:div>
      </w:divsChild>
    </w:div>
    <w:div w:id="299774098">
      <w:bodyDiv w:val="1"/>
      <w:marLeft w:val="0"/>
      <w:marRight w:val="0"/>
      <w:marTop w:val="0"/>
      <w:marBottom w:val="0"/>
      <w:divBdr>
        <w:top w:val="none" w:sz="0" w:space="0" w:color="auto"/>
        <w:left w:val="none" w:sz="0" w:space="0" w:color="auto"/>
        <w:bottom w:val="none" w:sz="0" w:space="0" w:color="auto"/>
        <w:right w:val="none" w:sz="0" w:space="0" w:color="auto"/>
      </w:divBdr>
    </w:div>
    <w:div w:id="347028994">
      <w:bodyDiv w:val="1"/>
      <w:marLeft w:val="0"/>
      <w:marRight w:val="0"/>
      <w:marTop w:val="0"/>
      <w:marBottom w:val="0"/>
      <w:divBdr>
        <w:top w:val="none" w:sz="0" w:space="0" w:color="auto"/>
        <w:left w:val="none" w:sz="0" w:space="0" w:color="auto"/>
        <w:bottom w:val="none" w:sz="0" w:space="0" w:color="auto"/>
        <w:right w:val="none" w:sz="0" w:space="0" w:color="auto"/>
      </w:divBdr>
      <w:divsChild>
        <w:div w:id="1076246011">
          <w:marLeft w:val="0"/>
          <w:marRight w:val="0"/>
          <w:marTop w:val="0"/>
          <w:marBottom w:val="0"/>
          <w:divBdr>
            <w:top w:val="none" w:sz="0" w:space="0" w:color="auto"/>
            <w:left w:val="none" w:sz="0" w:space="0" w:color="auto"/>
            <w:bottom w:val="none" w:sz="0" w:space="0" w:color="auto"/>
            <w:right w:val="none" w:sz="0" w:space="0" w:color="auto"/>
          </w:divBdr>
        </w:div>
        <w:div w:id="2028095931">
          <w:marLeft w:val="0"/>
          <w:marRight w:val="0"/>
          <w:marTop w:val="0"/>
          <w:marBottom w:val="0"/>
          <w:divBdr>
            <w:top w:val="none" w:sz="0" w:space="0" w:color="auto"/>
            <w:left w:val="none" w:sz="0" w:space="0" w:color="auto"/>
            <w:bottom w:val="none" w:sz="0" w:space="0" w:color="auto"/>
            <w:right w:val="none" w:sz="0" w:space="0" w:color="auto"/>
          </w:divBdr>
        </w:div>
        <w:div w:id="416485121">
          <w:marLeft w:val="0"/>
          <w:marRight w:val="0"/>
          <w:marTop w:val="0"/>
          <w:marBottom w:val="0"/>
          <w:divBdr>
            <w:top w:val="none" w:sz="0" w:space="0" w:color="auto"/>
            <w:left w:val="none" w:sz="0" w:space="0" w:color="auto"/>
            <w:bottom w:val="none" w:sz="0" w:space="0" w:color="auto"/>
            <w:right w:val="none" w:sz="0" w:space="0" w:color="auto"/>
          </w:divBdr>
        </w:div>
      </w:divsChild>
    </w:div>
    <w:div w:id="446386110">
      <w:bodyDiv w:val="1"/>
      <w:marLeft w:val="0"/>
      <w:marRight w:val="0"/>
      <w:marTop w:val="0"/>
      <w:marBottom w:val="0"/>
      <w:divBdr>
        <w:top w:val="none" w:sz="0" w:space="0" w:color="auto"/>
        <w:left w:val="none" w:sz="0" w:space="0" w:color="auto"/>
        <w:bottom w:val="none" w:sz="0" w:space="0" w:color="auto"/>
        <w:right w:val="none" w:sz="0" w:space="0" w:color="auto"/>
      </w:divBdr>
    </w:div>
    <w:div w:id="643893146">
      <w:bodyDiv w:val="1"/>
      <w:marLeft w:val="0"/>
      <w:marRight w:val="0"/>
      <w:marTop w:val="0"/>
      <w:marBottom w:val="0"/>
      <w:divBdr>
        <w:top w:val="none" w:sz="0" w:space="0" w:color="auto"/>
        <w:left w:val="none" w:sz="0" w:space="0" w:color="auto"/>
        <w:bottom w:val="none" w:sz="0" w:space="0" w:color="auto"/>
        <w:right w:val="none" w:sz="0" w:space="0" w:color="auto"/>
      </w:divBdr>
    </w:div>
    <w:div w:id="1420173926">
      <w:bodyDiv w:val="1"/>
      <w:marLeft w:val="0"/>
      <w:marRight w:val="0"/>
      <w:marTop w:val="0"/>
      <w:marBottom w:val="0"/>
      <w:divBdr>
        <w:top w:val="none" w:sz="0" w:space="0" w:color="auto"/>
        <w:left w:val="none" w:sz="0" w:space="0" w:color="auto"/>
        <w:bottom w:val="none" w:sz="0" w:space="0" w:color="auto"/>
        <w:right w:val="none" w:sz="0" w:space="0" w:color="auto"/>
      </w:divBdr>
      <w:divsChild>
        <w:div w:id="1191188350">
          <w:marLeft w:val="0"/>
          <w:marRight w:val="0"/>
          <w:marTop w:val="0"/>
          <w:marBottom w:val="0"/>
          <w:divBdr>
            <w:top w:val="none" w:sz="0" w:space="0" w:color="auto"/>
            <w:left w:val="none" w:sz="0" w:space="0" w:color="auto"/>
            <w:bottom w:val="none" w:sz="0" w:space="0" w:color="auto"/>
            <w:right w:val="none" w:sz="0" w:space="0" w:color="auto"/>
          </w:divBdr>
        </w:div>
        <w:div w:id="1157654274">
          <w:marLeft w:val="0"/>
          <w:marRight w:val="0"/>
          <w:marTop w:val="0"/>
          <w:marBottom w:val="0"/>
          <w:divBdr>
            <w:top w:val="none" w:sz="0" w:space="0" w:color="auto"/>
            <w:left w:val="none" w:sz="0" w:space="0" w:color="auto"/>
            <w:bottom w:val="none" w:sz="0" w:space="0" w:color="auto"/>
            <w:right w:val="none" w:sz="0" w:space="0" w:color="auto"/>
          </w:divBdr>
        </w:div>
        <w:div w:id="1489596717">
          <w:marLeft w:val="0"/>
          <w:marRight w:val="0"/>
          <w:marTop w:val="0"/>
          <w:marBottom w:val="0"/>
          <w:divBdr>
            <w:top w:val="none" w:sz="0" w:space="0" w:color="auto"/>
            <w:left w:val="none" w:sz="0" w:space="0" w:color="auto"/>
            <w:bottom w:val="none" w:sz="0" w:space="0" w:color="auto"/>
            <w:right w:val="none" w:sz="0" w:space="0" w:color="auto"/>
          </w:divBdr>
        </w:div>
        <w:div w:id="2083333579">
          <w:marLeft w:val="0"/>
          <w:marRight w:val="0"/>
          <w:marTop w:val="0"/>
          <w:marBottom w:val="0"/>
          <w:divBdr>
            <w:top w:val="none" w:sz="0" w:space="0" w:color="auto"/>
            <w:left w:val="none" w:sz="0" w:space="0" w:color="auto"/>
            <w:bottom w:val="none" w:sz="0" w:space="0" w:color="auto"/>
            <w:right w:val="none" w:sz="0" w:space="0" w:color="auto"/>
          </w:divBdr>
        </w:div>
        <w:div w:id="1634871885">
          <w:marLeft w:val="0"/>
          <w:marRight w:val="0"/>
          <w:marTop w:val="0"/>
          <w:marBottom w:val="0"/>
          <w:divBdr>
            <w:top w:val="none" w:sz="0" w:space="0" w:color="auto"/>
            <w:left w:val="none" w:sz="0" w:space="0" w:color="auto"/>
            <w:bottom w:val="none" w:sz="0" w:space="0" w:color="auto"/>
            <w:right w:val="none" w:sz="0" w:space="0" w:color="auto"/>
          </w:divBdr>
        </w:div>
      </w:divsChild>
    </w:div>
    <w:div w:id="1481656109">
      <w:bodyDiv w:val="1"/>
      <w:marLeft w:val="0"/>
      <w:marRight w:val="0"/>
      <w:marTop w:val="0"/>
      <w:marBottom w:val="0"/>
      <w:divBdr>
        <w:top w:val="none" w:sz="0" w:space="0" w:color="auto"/>
        <w:left w:val="none" w:sz="0" w:space="0" w:color="auto"/>
        <w:bottom w:val="none" w:sz="0" w:space="0" w:color="auto"/>
        <w:right w:val="none" w:sz="0" w:space="0" w:color="auto"/>
      </w:divBdr>
    </w:div>
    <w:div w:id="1672174271">
      <w:bodyDiv w:val="1"/>
      <w:marLeft w:val="0"/>
      <w:marRight w:val="0"/>
      <w:marTop w:val="0"/>
      <w:marBottom w:val="0"/>
      <w:divBdr>
        <w:top w:val="none" w:sz="0" w:space="0" w:color="auto"/>
        <w:left w:val="none" w:sz="0" w:space="0" w:color="auto"/>
        <w:bottom w:val="none" w:sz="0" w:space="0" w:color="auto"/>
        <w:right w:val="none" w:sz="0" w:space="0" w:color="auto"/>
      </w:divBdr>
      <w:divsChild>
        <w:div w:id="1354578320">
          <w:marLeft w:val="0"/>
          <w:marRight w:val="0"/>
          <w:marTop w:val="0"/>
          <w:marBottom w:val="0"/>
          <w:divBdr>
            <w:top w:val="none" w:sz="0" w:space="0" w:color="auto"/>
            <w:left w:val="none" w:sz="0" w:space="0" w:color="auto"/>
            <w:bottom w:val="none" w:sz="0" w:space="0" w:color="auto"/>
            <w:right w:val="none" w:sz="0" w:space="0" w:color="auto"/>
          </w:divBdr>
        </w:div>
        <w:div w:id="1770077206">
          <w:marLeft w:val="0"/>
          <w:marRight w:val="0"/>
          <w:marTop w:val="0"/>
          <w:marBottom w:val="0"/>
          <w:divBdr>
            <w:top w:val="none" w:sz="0" w:space="0" w:color="auto"/>
            <w:left w:val="none" w:sz="0" w:space="0" w:color="auto"/>
            <w:bottom w:val="none" w:sz="0" w:space="0" w:color="auto"/>
            <w:right w:val="none" w:sz="0" w:space="0" w:color="auto"/>
          </w:divBdr>
        </w:div>
        <w:div w:id="81818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2DA6A9F8BB7147BE5A07634D229DA0" ma:contentTypeVersion="12" ma:contentTypeDescription="Crear nuevo documento." ma:contentTypeScope="" ma:versionID="452c5e160e6a7b03b4b27b2b389b7f01">
  <xsd:schema xmlns:xsd="http://www.w3.org/2001/XMLSchema" xmlns:xs="http://www.w3.org/2001/XMLSchema" xmlns:p="http://schemas.microsoft.com/office/2006/metadata/properties" xmlns:ns2="931aa657-ce6e-4767-ba8e-2a12e879fb9c" xmlns:ns3="eadac011-14cd-41e8-b78f-f99ae8703cfc" xmlns:ns4="ed5db401-79db-4924-bafc-eaae49b77795" targetNamespace="http://schemas.microsoft.com/office/2006/metadata/properties" ma:root="true" ma:fieldsID="a23ec1dfa09f4c6d9af5cd60c16f3f49" ns2:_="" ns3:_="" ns4:_="">
    <xsd:import namespace="931aa657-ce6e-4767-ba8e-2a12e879fb9c"/>
    <xsd:import namespace="eadac011-14cd-41e8-b78f-f99ae8703cfc"/>
    <xsd:import namespace="ed5db401-79db-4924-bafc-eaae49b7779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a657-ce6e-4767-ba8e-2a12e879fb9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ac011-14cd-41e8-b78f-f99ae8703cfc" elementFormDefault="qualified">
    <xsd:import namespace="http://schemas.microsoft.com/office/2006/documentManagement/types"/>
    <xsd:import namespace="http://schemas.microsoft.com/office/infopath/2007/PartnerControls"/>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5db401-79db-4924-bafc-eaae49b777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4CFC9-F393-470F-A044-19FF729E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a657-ce6e-4767-ba8e-2a12e879fb9c"/>
    <ds:schemaRef ds:uri="eadac011-14cd-41e8-b78f-f99ae8703cfc"/>
    <ds:schemaRef ds:uri="ed5db401-79db-4924-bafc-eaae49b77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CDB28-D8BA-4A6B-BAAB-70B47664C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AEC39-95AF-4533-9BD9-00FBC53AB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Hernández Elvira</dc:creator>
  <cp:keywords/>
  <dc:description/>
  <cp:lastModifiedBy>Carmen Hernández Elvira</cp:lastModifiedBy>
  <cp:revision>14</cp:revision>
  <cp:lastPrinted>2018-10-01T14:29:00Z</cp:lastPrinted>
  <dcterms:created xsi:type="dcterms:W3CDTF">2018-06-13T22:54:00Z</dcterms:created>
  <dcterms:modified xsi:type="dcterms:W3CDTF">2018-10-01T14:29:00Z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0x010100672DA6A9F8BB7147BE5A07634D229DA0</vt:lpwstr>
  </property>
</Properties>
</file>